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t>Piano strategico della PAC</w:t>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r>
    </w:p>
    <w:tbl>
      <w:tblPr>
        <w:tblW w:w="4900" w:type="pct"/>
        <w:jc w:val="left"/>
        <w:tblInd w:w="145" w:type="dxa"/>
        <w:tblLayout w:type="fixed"/>
        <w:tblCellMar>
          <w:top w:w="0" w:type="dxa"/>
          <w:left w:w="100" w:type="dxa"/>
          <w:bottom w:w="0" w:type="dxa"/>
          <w:right w:w="100" w:type="dxa"/>
        </w:tblCellMar>
      </w:tblPr>
      <w:tblGrid>
        <w:gridCol w:w="5022"/>
        <w:gridCol w:w="5022"/>
      </w:tblGrid>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CCI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2023IT06AFSP001</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in inglese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val="false"/>
                <w:i w:val="false"/>
                <w:color w:val="000000"/>
                <w:sz w:val="24"/>
              </w:rPr>
              <w:t>Italy CAP Strategic Plan</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nella(e) lingua(e) nazionale(i)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rPr>
              <w:t>IT - Piano Strategico Nazionale PAC</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Versione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5.0</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Stato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Inviato</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Primo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Ultimo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2027</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a decorrere da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 gen 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fino 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Numero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Fondo/i interessato/i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FEAGA, FEASR</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di creazione della relazione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17/04/2025 09:04</w:t>
            </w:r>
          </w:p>
        </w:tc>
      </w:tr>
    </w:tbl>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936" w:gutter="0" w:header="0" w:top="720" w:footer="72" w:bottom="864"/>
          <w:pgNumType w:fmt="decimal"/>
          <w:formProt w:val="false"/>
          <w:textDirection w:val="lrTb"/>
          <w:docGrid w:type="default" w:linePitch="360" w:charSpace="0"/>
        </w:sectPr>
      </w:pPr>
    </w:p>
    <w:p>
      <w:pPr>
        <w:pStyle w:val="Normal"/>
        <w:jc w:val="center"/>
        <w:rPr>
          <w:rFonts w:ascii="Times New Roman" w:hAnsi="Times New Roman" w:eastAsia="Times New Roman" w:cs="Times New Roman"/>
          <w:b/>
          <w:color w:val="000000"/>
          <w:sz w:val="24"/>
        </w:rPr>
      </w:pPr>
      <w:r>
        <w:rPr>
          <w:rFonts w:eastAsia="Times New Roman" w:cs="Times New Roman"/>
          <w:b/>
          <w:color w:val="000000"/>
          <w:sz w:val="24"/>
        </w:rPr>
        <w:t>Indice</w:t>
      </w:r>
    </w:p>
    <w:p>
      <w:pPr>
        <w:pStyle w:val="Normal"/>
        <w:jc w:val="center"/>
        <w:rPr>
          <w:rFonts w:ascii="Times New Roman" w:hAnsi="Times New Roman" w:eastAsia="Times New Roman" w:cs="Times New Roman"/>
          <w:b w:val="false"/>
          <w:color w:val="000000"/>
          <w:sz w:val="24"/>
        </w:rPr>
      </w:pPr>
      <w:r>
        <w:rPr>
          <w:rFonts w:eastAsia="Times New Roman" w:cs="Times New Roman"/>
          <w:b w:val="false"/>
          <w:color w:val="000000"/>
          <w:sz w:val="24"/>
        </w:rPr>
      </w:r>
    </w:p>
    <w:sdt>
      <w:sdtPr>
        <w:docPartObj>
          <w:docPartGallery w:val="Table of Contents"/>
          <w:docPartUnique w:val="true"/>
        </w:docPartObj>
      </w:sdtPr>
      <w:sdtContent>
        <w:p>
          <w:pPr>
            <w:pStyle w:val="TOC1"/>
            <w:tabs>
              <w:tab w:val="clear" w:pos="720"/>
              <w:tab w:val="right" w:pos="10240" w:leader="dot"/>
            </w:tabs>
            <w:rPr>
              <w:rFonts w:ascii="Calibri" w:hAnsi="Calibri"/>
              <w:sz w:val="22"/>
            </w:rPr>
          </w:pPr>
          <w:r>
            <w:fldChar w:fldCharType="begin"/>
          </w:r>
          <w:r>
            <w:rPr>
              <w:webHidden/>
              <w:rStyle w:val="Saltoaindice"/>
              <w:vanish w:val="false"/>
            </w:rPr>
            <w:instrText xml:space="preserve"> TOC \z \o "1-9" \u \h</w:instrText>
          </w:r>
          <w:r>
            <w:rPr>
              <w:webHidden/>
              <w:rStyle w:val="Saltoaindice"/>
              <w:vanish w:val="false"/>
            </w:rPr>
            <w:fldChar w:fldCharType="separate"/>
          </w:r>
          <w:hyperlink w:anchor="_Toc256000000">
            <w:r>
              <w:rPr>
                <w:webHidden/>
              </w:rPr>
              <w:fldChar w:fldCharType="begin"/>
            </w:r>
            <w:r>
              <w:rPr>
                <w:webHidden/>
              </w:rPr>
              <w:instrText xml:space="preserve">PAGEREF _Toc256000000 \h</w:instrText>
            </w:r>
            <w:r>
              <w:rPr>
                <w:webHidden/>
              </w:rPr>
              <w:fldChar w:fldCharType="separate"/>
            </w:r>
            <w:r>
              <w:rPr>
                <w:webHidden/>
                <w:rStyle w:val="Saltoaindice"/>
                <w:vanish w:val="false"/>
              </w:rPr>
              <w:t>5 Pagamenti diretti e interventi settoriali e di sviluppo rurale precisati nella strategia</w:t>
              <w:tab/>
              <w:t>3</w:t>
            </w:r>
            <w:r>
              <w:rPr>
                <w:webHidden/>
              </w:rPr>
              <w:fldChar w:fldCharType="end"/>
            </w:r>
          </w:hyperlink>
        </w:p>
        <w:p>
          <w:pPr>
            <w:pStyle w:val="TOC2"/>
            <w:tabs>
              <w:tab w:val="clear" w:pos="720"/>
              <w:tab w:val="right" w:pos="10240" w:leader="dot"/>
            </w:tabs>
            <w:rPr>
              <w:rFonts w:ascii="Calibri" w:hAnsi="Calibri"/>
              <w:sz w:val="22"/>
            </w:rPr>
          </w:pPr>
          <w:hyperlink w:anchor="_Toc256000001">
            <w:r>
              <w:rPr>
                <w:webHidden/>
              </w:rPr>
              <w:fldChar w:fldCharType="begin"/>
            </w:r>
            <w:r>
              <w:rPr>
                <w:webHidden/>
              </w:rPr>
              <w:instrText xml:space="preserve">PAGEREF _Toc256000001 \h</w:instrText>
            </w:r>
            <w:r>
              <w:rPr>
                <w:webHidden/>
              </w:rPr>
              <w:fldChar w:fldCharType="separate"/>
            </w:r>
            <w:r>
              <w:rPr>
                <w:webHidden/>
                <w:rStyle w:val="Saltoaindice"/>
                <w:vanish w:val="false"/>
              </w:rPr>
              <w:t>5.3 Interventi di sviluppo rurale</w:t>
              <w:tab/>
              <w:t>4</w:t>
            </w:r>
            <w:r>
              <w:rPr>
                <w:webHidden/>
              </w:rPr>
              <w:fldChar w:fldCharType="end"/>
            </w:r>
          </w:hyperlink>
        </w:p>
        <w:p>
          <w:pPr>
            <w:pStyle w:val="TOC3"/>
            <w:tabs>
              <w:tab w:val="clear" w:pos="720"/>
              <w:tab w:val="right" w:pos="10240" w:leader="dot"/>
            </w:tabs>
            <w:rPr>
              <w:rFonts w:ascii="Calibri" w:hAnsi="Calibri"/>
              <w:sz w:val="22"/>
            </w:rPr>
          </w:pPr>
          <w:hyperlink w:anchor="_Toc256000002">
            <w:r>
              <w:rPr>
                <w:webHidden/>
              </w:rPr>
              <w:fldChar w:fldCharType="begin"/>
            </w:r>
            <w:r>
              <w:rPr>
                <w:webHidden/>
              </w:rPr>
              <w:instrText xml:space="preserve">PAGEREF _Toc256000002 \h</w:instrText>
            </w:r>
            <w:r>
              <w:rPr>
                <w:webHidden/>
              </w:rPr>
              <w:fldChar w:fldCharType="separate"/>
            </w:r>
            <w:r>
              <w:rPr>
                <w:webHidden/>
                <w:rStyle w:val="Saltoaindice"/>
                <w:vanish w:val="false"/>
              </w:rPr>
              <w:t>INVEST(73-74) - Investimenti, compresi gli investimenti nell'irrigazione</w:t>
              <w:tab/>
              <w:t>4</w:t>
            </w:r>
            <w:r>
              <w:rPr>
                <w:webHidden/>
              </w:rPr>
              <w:fldChar w:fldCharType="end"/>
            </w:r>
          </w:hyperlink>
        </w:p>
        <w:p>
          <w:pPr>
            <w:pStyle w:val="TOC4"/>
            <w:tabs>
              <w:tab w:val="clear" w:pos="720"/>
              <w:tab w:val="right" w:pos="10240" w:leader="dot"/>
            </w:tabs>
            <w:rPr>
              <w:rFonts w:ascii="Calibri" w:hAnsi="Calibri"/>
              <w:sz w:val="22"/>
            </w:rPr>
          </w:pPr>
          <w:hyperlink w:anchor="_Toc256000003">
            <w:r>
              <w:rPr>
                <w:webHidden/>
              </w:rPr>
              <w:fldChar w:fldCharType="begin"/>
            </w:r>
            <w:r>
              <w:rPr>
                <w:webHidden/>
              </w:rPr>
              <w:instrText xml:space="preserve">PAGEREF _Toc256000003 \h</w:instrText>
            </w:r>
            <w:r>
              <w:rPr>
                <w:webHidden/>
              </w:rPr>
              <w:fldChar w:fldCharType="separate"/>
            </w:r>
            <w:r>
              <w:rPr>
                <w:webHidden/>
                <w:rStyle w:val="Saltoaindice"/>
                <w:vanish w:val="false"/>
              </w:rPr>
              <w:t>SRD01 - investimenti produttivi agricoli per la competitività delle aziende agricole</w:t>
              <w:tab/>
              <w:t>4</w:t>
            </w:r>
            <w:r>
              <w:rPr>
                <w:webHidden/>
              </w:rPr>
              <w:fldChar w:fldCharType="end"/>
            </w:r>
          </w:hyperlink>
        </w:p>
        <w:p>
          <w:pPr>
            <w:pStyle w:val="TOC5"/>
            <w:tabs>
              <w:tab w:val="clear" w:pos="720"/>
              <w:tab w:val="right" w:pos="10240" w:leader="dot"/>
            </w:tabs>
            <w:rPr>
              <w:rFonts w:ascii="Calibri" w:hAnsi="Calibri"/>
              <w:sz w:val="22"/>
            </w:rPr>
          </w:pPr>
          <w:hyperlink w:anchor="_Toc256000004">
            <w:r>
              <w:rPr>
                <w:webHidden/>
              </w:rPr>
              <w:fldChar w:fldCharType="begin"/>
            </w:r>
            <w:r>
              <w:rPr>
                <w:webHidden/>
              </w:rPr>
              <w:instrText xml:space="preserve">PAGEREF _Toc256000004 \h</w:instrText>
            </w:r>
            <w:r>
              <w:rPr>
                <w:webHidden/>
              </w:rPr>
              <w:fldChar w:fldCharType="separate"/>
            </w:r>
            <w:r>
              <w:rPr>
                <w:webHidden/>
                <w:rStyle w:val="Saltoaindice"/>
                <w:vanish w:val="false"/>
              </w:rPr>
              <w:t>1 Ambito di applicazione territoriale e, se pertinente, dimensione regionale</w:t>
              <w:tab/>
              <w:t>4</w:t>
            </w:r>
            <w:r>
              <w:rPr>
                <w:webHidden/>
              </w:rPr>
              <w:fldChar w:fldCharType="end"/>
            </w:r>
          </w:hyperlink>
        </w:p>
        <w:p>
          <w:pPr>
            <w:pStyle w:val="TOC5"/>
            <w:tabs>
              <w:tab w:val="clear" w:pos="720"/>
              <w:tab w:val="right" w:pos="10240" w:leader="dot"/>
            </w:tabs>
            <w:rPr>
              <w:rFonts w:ascii="Calibri" w:hAnsi="Calibri"/>
              <w:sz w:val="22"/>
            </w:rPr>
          </w:pPr>
          <w:hyperlink w:anchor="_Toc256000005">
            <w:r>
              <w:rPr>
                <w:webHidden/>
              </w:rPr>
              <w:fldChar w:fldCharType="begin"/>
            </w:r>
            <w:r>
              <w:rPr>
                <w:webHidden/>
              </w:rPr>
              <w:instrText xml:space="preserve">PAGEREF _Toc256000005 \h</w:instrText>
            </w:r>
            <w:r>
              <w:rPr>
                <w:webHidden/>
              </w:rPr>
              <w:fldChar w:fldCharType="separate"/>
            </w:r>
            <w:r>
              <w:rPr>
                <w:webHidden/>
                <w:rStyle w:val="Saltoaindice"/>
                <w:vanish w:val="false"/>
              </w:rPr>
              <w:t>2 Obiettivi specifici correlati, obiettivo trasversale e obiettivi settoriali pertinenti</w:t>
              <w:tab/>
              <w:t>4</w:t>
            </w:r>
            <w:r>
              <w:rPr>
                <w:webHidden/>
              </w:rPr>
              <w:fldChar w:fldCharType="end"/>
            </w:r>
          </w:hyperlink>
        </w:p>
        <w:p>
          <w:pPr>
            <w:pStyle w:val="TOC5"/>
            <w:tabs>
              <w:tab w:val="clear" w:pos="720"/>
              <w:tab w:val="right" w:pos="10240" w:leader="dot"/>
            </w:tabs>
            <w:rPr>
              <w:rFonts w:ascii="Calibri" w:hAnsi="Calibri"/>
              <w:sz w:val="22"/>
            </w:rPr>
          </w:pPr>
          <w:hyperlink w:anchor="_Toc256000006">
            <w:r>
              <w:rPr>
                <w:webHidden/>
              </w:rPr>
              <w:fldChar w:fldCharType="begin"/>
            </w:r>
            <w:r>
              <w:rPr>
                <w:webHidden/>
              </w:rPr>
              <w:instrText xml:space="preserve">PAGEREF _Toc256000006 \h</w:instrText>
            </w:r>
            <w:r>
              <w:rPr>
                <w:webHidden/>
              </w:rPr>
              <w:fldChar w:fldCharType="separate"/>
            </w:r>
            <w:r>
              <w:rPr>
                <w:webHidden/>
                <w:rStyle w:val="Saltoaindice"/>
                <w:vanish w:val="false"/>
              </w:rPr>
              <w:t>3 Esigenza o esigenze affrontate mediante 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7">
            <w:r>
              <w:rPr>
                <w:webHidden/>
              </w:rPr>
              <w:fldChar w:fldCharType="begin"/>
            </w:r>
            <w:r>
              <w:rPr>
                <w:webHidden/>
              </w:rPr>
              <w:instrText xml:space="preserve">PAGEREF _Toc256000007 \h</w:instrText>
            </w:r>
            <w:r>
              <w:rPr>
                <w:webHidden/>
              </w:rPr>
              <w:fldChar w:fldCharType="separate"/>
            </w:r>
            <w:r>
              <w:rPr>
                <w:webHidden/>
                <w:rStyle w:val="Saltoaindice"/>
                <w:vanish w:val="false"/>
              </w:rPr>
              <w:t>4 Indicatore o indicatori di risultato</w:t>
              <w:tab/>
              <w:t>5</w:t>
            </w:r>
            <w:r>
              <w:rPr>
                <w:webHidden/>
              </w:rPr>
              <w:fldChar w:fldCharType="end"/>
            </w:r>
          </w:hyperlink>
        </w:p>
        <w:p>
          <w:pPr>
            <w:pStyle w:val="TOC5"/>
            <w:tabs>
              <w:tab w:val="clear" w:pos="720"/>
              <w:tab w:val="right" w:pos="10240" w:leader="dot"/>
            </w:tabs>
            <w:rPr>
              <w:rFonts w:ascii="Calibri" w:hAnsi="Calibri"/>
              <w:sz w:val="22"/>
            </w:rPr>
          </w:pPr>
          <w:hyperlink w:anchor="_Toc256000008">
            <w:r>
              <w:rPr>
                <w:webHidden/>
              </w:rPr>
              <w:fldChar w:fldCharType="begin"/>
            </w:r>
            <w:r>
              <w:rPr>
                <w:webHidden/>
              </w:rPr>
              <w:instrText xml:space="preserve">PAGEREF _Toc256000008 \h</w:instrText>
            </w:r>
            <w:r>
              <w:rPr>
                <w:webHidden/>
              </w:rPr>
              <w:fldChar w:fldCharType="separate"/>
            </w:r>
            <w:r>
              <w:rPr>
                <w:webHidden/>
                <w:rStyle w:val="Saltoaindice"/>
                <w:vanish w:val="false"/>
              </w:rPr>
              <w:t>5 Concezione specifica, requisiti e condizioni di ammissibilità dell'intervento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9">
            <w:r>
              <w:rPr>
                <w:webHidden/>
              </w:rPr>
              <w:fldChar w:fldCharType="begin"/>
            </w:r>
            <w:r>
              <w:rPr>
                <w:webHidden/>
              </w:rPr>
              <w:instrText xml:space="preserve">PAGEREF _Toc256000009 \h</w:instrText>
            </w:r>
            <w:r>
              <w:rPr>
                <w:webHidden/>
              </w:rPr>
              <w:fldChar w:fldCharType="separate"/>
            </w:r>
            <w:r>
              <w:rPr>
                <w:webHidden/>
                <w:rStyle w:val="Saltoaindice"/>
                <w:vanish w:val="false"/>
              </w:rPr>
              <w:t>6 Individuazione degli elementi di base pertinenti</w:t>
              <w:tab/>
              <w:t>31</w:t>
            </w:r>
            <w:r>
              <w:rPr>
                <w:webHidden/>
              </w:rPr>
              <w:fldChar w:fldCharType="end"/>
            </w:r>
          </w:hyperlink>
        </w:p>
        <w:p>
          <w:pPr>
            <w:pStyle w:val="TOC5"/>
            <w:tabs>
              <w:tab w:val="clear" w:pos="720"/>
              <w:tab w:val="right" w:pos="10240" w:leader="dot"/>
            </w:tabs>
            <w:rPr>
              <w:rFonts w:ascii="Calibri" w:hAnsi="Calibri"/>
              <w:sz w:val="22"/>
            </w:rPr>
          </w:pPr>
          <w:hyperlink w:anchor="_Toc256000010">
            <w:r>
              <w:rPr>
                <w:webHidden/>
              </w:rPr>
              <w:fldChar w:fldCharType="begin"/>
            </w:r>
            <w:r>
              <w:rPr>
                <w:webHidden/>
              </w:rPr>
              <w:instrText xml:space="preserve">PAGEREF _Toc256000010 \h</w:instrText>
            </w:r>
            <w:r>
              <w:rPr>
                <w:webHidden/>
              </w:rPr>
              <w:fldChar w:fldCharType="separate"/>
            </w:r>
            <w:r>
              <w:rPr>
                <w:webHidden/>
                <w:rStyle w:val="Saltoaindice"/>
                <w:vanish w:val="false"/>
              </w:rPr>
              <w:t>7 Forma e percentuale del sostegno /importi/metodi di calcolo</w:t>
              <w:tab/>
              <w:t>31</w:t>
            </w:r>
            <w:r>
              <w:rPr>
                <w:webHidden/>
              </w:rPr>
              <w:fldChar w:fldCharType="end"/>
            </w:r>
          </w:hyperlink>
        </w:p>
        <w:p>
          <w:pPr>
            <w:pStyle w:val="TOC5"/>
            <w:tabs>
              <w:tab w:val="clear" w:pos="720"/>
              <w:tab w:val="right" w:pos="10240" w:leader="dot"/>
            </w:tabs>
            <w:rPr>
              <w:rFonts w:ascii="Calibri" w:hAnsi="Calibri"/>
              <w:sz w:val="22"/>
            </w:rPr>
          </w:pPr>
          <w:hyperlink w:anchor="_Toc256000011">
            <w:r>
              <w:rPr>
                <w:webHidden/>
              </w:rPr>
              <w:fldChar w:fldCharType="begin"/>
            </w:r>
            <w:r>
              <w:rPr>
                <w:webHidden/>
              </w:rPr>
              <w:instrText xml:space="preserve">PAGEREF _Toc256000011 \h</w:instrText>
            </w:r>
            <w:r>
              <w:rPr>
                <w:webHidden/>
              </w:rPr>
              <w:fldChar w:fldCharType="separate"/>
            </w:r>
            <w:r>
              <w:rPr>
                <w:webHidden/>
                <w:rStyle w:val="Saltoaindice"/>
                <w:vanish w:val="false"/>
              </w:rPr>
              <w:t>8 Informazioni concernenti la valutazione degli aiuti di Stato</w:t>
              <w:tab/>
              <w:t>39</w:t>
            </w:r>
            <w:r>
              <w:rPr>
                <w:webHidden/>
              </w:rPr>
              <w:fldChar w:fldCharType="end"/>
            </w:r>
          </w:hyperlink>
        </w:p>
        <w:p>
          <w:pPr>
            <w:pStyle w:val="TOC5"/>
            <w:tabs>
              <w:tab w:val="clear" w:pos="720"/>
              <w:tab w:val="right" w:pos="10240" w:leader="dot"/>
            </w:tabs>
            <w:rPr>
              <w:rFonts w:ascii="Calibri" w:hAnsi="Calibri"/>
              <w:sz w:val="22"/>
            </w:rPr>
          </w:pPr>
          <w:hyperlink w:anchor="_Toc256000012">
            <w:r>
              <w:rPr>
                <w:webHidden/>
              </w:rPr>
              <w:fldChar w:fldCharType="begin"/>
            </w:r>
            <w:r>
              <w:rPr>
                <w:webHidden/>
              </w:rPr>
              <w:instrText xml:space="preserve">PAGEREF _Toc256000012 \h</w:instrText>
            </w:r>
            <w:r>
              <w:rPr>
                <w:webHidden/>
              </w:rPr>
              <w:fldChar w:fldCharType="separate"/>
            </w:r>
            <w:r>
              <w:rPr>
                <w:webHidden/>
                <w:rStyle w:val="Saltoaindice"/>
                <w:vanish w:val="false"/>
              </w:rPr>
              <w:t>9 Domande/informazioni aggiuntive specifiche per il tipo di intervento</w:t>
              <w:tab/>
              <w:t>39</w:t>
            </w:r>
            <w:r>
              <w:rPr>
                <w:webHidden/>
              </w:rPr>
              <w:fldChar w:fldCharType="end"/>
            </w:r>
          </w:hyperlink>
        </w:p>
        <w:p>
          <w:pPr>
            <w:pStyle w:val="TOC5"/>
            <w:tabs>
              <w:tab w:val="clear" w:pos="720"/>
              <w:tab w:val="right" w:pos="10240" w:leader="dot"/>
            </w:tabs>
            <w:rPr>
              <w:rFonts w:ascii="Calibri" w:hAnsi="Calibri"/>
              <w:sz w:val="22"/>
            </w:rPr>
          </w:pPr>
          <w:hyperlink w:anchor="_Toc256000013">
            <w:r>
              <w:rPr>
                <w:webHidden/>
              </w:rPr>
              <w:fldChar w:fldCharType="begin"/>
            </w:r>
            <w:r>
              <w:rPr>
                <w:webHidden/>
              </w:rPr>
              <w:instrText xml:space="preserve">PAGEREF _Toc256000013 \h</w:instrText>
            </w:r>
            <w:r>
              <w:rPr>
                <w:webHidden/>
              </w:rPr>
              <w:fldChar w:fldCharType="separate"/>
            </w:r>
            <w:r>
              <w:rPr>
                <w:webHidden/>
                <w:rStyle w:val="Saltoaindice"/>
                <w:vanish w:val="false"/>
              </w:rPr>
              <w:t>10 Rispetto delle norme OMC</w:t>
              <w:tab/>
              <w:t>39</w:t>
            </w:r>
            <w:r>
              <w:rPr>
                <w:webHidden/>
              </w:rPr>
              <w:fldChar w:fldCharType="end"/>
            </w:r>
          </w:hyperlink>
        </w:p>
        <w:p>
          <w:pPr>
            <w:pStyle w:val="TOC5"/>
            <w:tabs>
              <w:tab w:val="clear" w:pos="720"/>
              <w:tab w:val="right" w:pos="10240" w:leader="dot"/>
            </w:tabs>
            <w:rPr>
              <w:rFonts w:ascii="Calibri" w:hAnsi="Calibri"/>
              <w:sz w:val="22"/>
            </w:rPr>
          </w:pPr>
          <w:hyperlink w:anchor="_Toc256000014">
            <w:r>
              <w:rPr>
                <w:webHidden/>
              </w:rPr>
              <w:fldChar w:fldCharType="begin"/>
            </w:r>
            <w:r>
              <w:rPr>
                <w:webHidden/>
              </w:rPr>
              <w:instrText xml:space="preserve">PAGEREF _Toc256000014 \h</w:instrText>
            </w:r>
            <w:r>
              <w:rPr>
                <w:webHidden/>
              </w:rPr>
              <w:fldChar w:fldCharType="separate"/>
            </w:r>
            <w:r>
              <w:rPr>
                <w:webHidden/>
                <w:rStyle w:val="Saltoaindice"/>
                <w:vanish w:val="false"/>
              </w:rPr>
              <w:t>11 Tassi di partecipazione applicabili all'intervento</w:t>
              <w:tab/>
              <w:t>40</w:t>
            </w:r>
            <w:r>
              <w:rPr>
                <w:webHidden/>
              </w:rPr>
              <w:fldChar w:fldCharType="end"/>
            </w:r>
          </w:hyperlink>
        </w:p>
        <w:p>
          <w:pPr>
            <w:pStyle w:val="TOC5"/>
            <w:tabs>
              <w:tab w:val="clear" w:pos="720"/>
              <w:tab w:val="right" w:pos="10240" w:leader="dot"/>
            </w:tabs>
            <w:rPr>
              <w:rFonts w:ascii="Calibri" w:hAnsi="Calibri"/>
              <w:sz w:val="22"/>
            </w:rPr>
          </w:pPr>
          <w:hyperlink w:anchor="_Toc256000015">
            <w:r>
              <w:rPr>
                <w:webHidden/>
              </w:rPr>
              <w:fldChar w:fldCharType="begin"/>
            </w:r>
            <w:r>
              <w:rPr>
                <w:webHidden/>
              </w:rPr>
              <w:instrText xml:space="preserve">PAGEREF _Toc256000015 \h</w:instrText>
            </w:r>
            <w:r>
              <w:rPr>
                <w:webHidden/>
              </w:rPr>
              <w:fldChar w:fldCharType="separate"/>
            </w:r>
            <w:r>
              <w:rPr>
                <w:webHidden/>
                <w:rStyle w:val="Saltoaindice"/>
                <w:vanish w:val="false"/>
              </w:rPr>
              <w:t>12 Importi unitari previsti - Definizione</w:t>
              <w:tab/>
              <w:t>41</w:t>
            </w:r>
            <w:r>
              <w:rPr>
                <w:webHidden/>
              </w:rPr>
              <w:fldChar w:fldCharType="end"/>
            </w:r>
          </w:hyperlink>
        </w:p>
        <w:p>
          <w:pPr>
            <w:pStyle w:val="TOC5"/>
            <w:tabs>
              <w:tab w:val="clear" w:pos="720"/>
              <w:tab w:val="right" w:pos="10240" w:leader="dot"/>
            </w:tabs>
            <w:rPr>
              <w:rFonts w:ascii="Calibri" w:hAnsi="Calibri"/>
              <w:sz w:val="22"/>
            </w:rPr>
          </w:pPr>
          <w:hyperlink w:anchor="_Toc256000016">
            <w:r>
              <w:rPr>
                <w:webHidden/>
              </w:rPr>
              <w:fldChar w:fldCharType="begin"/>
            </w:r>
            <w:r>
              <w:rPr>
                <w:webHidden/>
              </w:rPr>
              <w:instrText xml:space="preserve">PAGEREF _Toc256000016 \h</w:instrText>
            </w:r>
            <w:r>
              <w:rPr>
                <w:webHidden/>
              </w:rPr>
              <w:fldChar w:fldCharType="separate"/>
            </w:r>
            <w:r>
              <w:rPr>
                <w:webHidden/>
                <w:rStyle w:val="Saltoaindice"/>
                <w:vanish w:val="false"/>
              </w:rPr>
              <w:t>13 Importi unitari previsti - Tabella finanziaria con output</w:t>
              <w:tab/>
              <w:t>48</w:t>
            </w:r>
            <w:r>
              <w:rPr>
                <w:webHidden/>
              </w:rPr>
              <w:fldChar w:fldCharType="end"/>
            </w:r>
          </w:hyperlink>
          <w:r>
            <w:rPr>
              <w:rStyle w:val="Saltoaindice"/>
              <w:vanish w:val="false"/>
            </w:rPr>
            <w:fldChar w:fldCharType="end"/>
          </w:r>
        </w:p>
        <w:p>
          <w:pPr>
            <w:sectPr>
              <w:headerReference w:type="default" r:id="rId8"/>
              <w:headerReference w:type="first" r:id="rId9"/>
              <w:footerReference w:type="default" r:id="rId10"/>
              <w:footerReference w:type="first" r:id="rId11"/>
              <w:type w:val="nextPage"/>
              <w:pgSz w:w="11906" w:h="16838"/>
              <w:pgMar w:left="720" w:right="936" w:gutter="0" w:header="0" w:top="720" w:footer="72" w:bottom="864"/>
              <w:pgNumType w:fmt="decimal"/>
              <w:formProt w:val="false"/>
              <w:textDirection w:val="lrTb"/>
              <w:docGrid w:type="default" w:linePitch="360" w:charSpace="0"/>
            </w:sectPr>
          </w:pPr>
        </w:p>
      </w:sdtContent>
    </w:sdt>
    <w:p>
      <w:pPr>
        <w:pStyle w:val="Heading1"/>
        <w:rPr/>
      </w:pPr>
      <w:bookmarkStart w:id="0" w:name="_Toc256000000"/>
      <w:r>
        <w:rPr/>
        <w:t>5 Pagamenti diretti e interventi settoriali e di sviluppo rurale precisati nella strategia</w:t>
      </w:r>
      <w:bookmarkEnd w:id="0"/>
    </w:p>
    <w:tbl>
      <w:tblPr>
        <w:tblW w:w="5000" w:type="pct"/>
        <w:jc w:val="left"/>
        <w:tblInd w:w="105" w:type="dxa"/>
        <w:tblLayout w:type="fixed"/>
        <w:tblCellMar>
          <w:top w:w="0" w:type="dxa"/>
          <w:left w:w="100" w:type="dxa"/>
          <w:bottom w:w="0" w:type="dxa"/>
          <w:right w:w="100" w:type="dxa"/>
        </w:tblCellMar>
      </w:tblPr>
      <w:tblGrid>
        <w:gridCol w:w="2839"/>
        <w:gridCol w:w="2840"/>
        <w:gridCol w:w="2839"/>
        <w:gridCol w:w="1237"/>
        <w:gridCol w:w="856"/>
        <w:gridCol w:w="1075"/>
        <w:gridCol w:w="939"/>
        <w:gridCol w:w="587"/>
        <w:gridCol w:w="966"/>
        <w:gridCol w:w="1002"/>
      </w:tblGrid>
      <w:tr>
        <w:trPr>
          <w:tblHeader w:val="true"/>
          <w:trHeight w:val="240" w:hRule="atLeast"/>
        </w:trPr>
        <w:tc>
          <w:tcPr>
            <w:tcW w:w="283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Fondo</w:t>
            </w:r>
          </w:p>
        </w:tc>
        <w:tc>
          <w:tcPr>
            <w:tcW w:w="284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Forma di intervento</w:t>
            </w:r>
          </w:p>
        </w:tc>
        <w:tc>
          <w:tcPr>
            <w:tcW w:w="283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Tipo di intervento</w:t>
            </w:r>
          </w:p>
        </w:tc>
        <w:tc>
          <w:tcPr>
            <w:tcW w:w="123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Codice intervento (SM) - Nome</w:t>
            </w:r>
          </w:p>
        </w:tc>
        <w:tc>
          <w:tcPr>
            <w:tcW w:w="85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Riporto</w:t>
            </w:r>
          </w:p>
        </w:tc>
        <w:tc>
          <w:tcPr>
            <w:tcW w:w="107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Indicatore comune di output</w:t>
            </w:r>
          </w:p>
        </w:tc>
        <w:tc>
          <w:tcPr>
            <w:tcW w:w="93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Gen. Renewal</w:t>
            </w:r>
          </w:p>
        </w:tc>
        <w:tc>
          <w:tcPr>
            <w:tcW w:w="58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Env.</w:t>
            </w:r>
          </w:p>
        </w:tc>
        <w:tc>
          <w:tcPr>
            <w:tcW w:w="96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Sistema di riduzioni ES</w:t>
            </w:r>
          </w:p>
        </w:tc>
        <w:tc>
          <w:tcPr>
            <w:tcW w:w="100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rFonts w:ascii="Times New Roman" w:hAnsi="Times New Roman" w:eastAsia="Times New Roman" w:cs="Times New Roman"/>
                <w:b w:val="false"/>
                <w:color w:val="000000"/>
                <w:sz w:val="20"/>
              </w:rPr>
            </w:pPr>
            <w:r>
              <w:rPr>
                <w:b/>
                <w:sz w:val="20"/>
              </w:rPr>
              <w:t>LEADER</w:t>
            </w:r>
          </w:p>
        </w:tc>
      </w:tr>
      <w:tr>
        <w:trPr>
          <w:tblHeader w:val="true"/>
          <w:trHeight w:val="240" w:hRule="atLeast"/>
        </w:trPr>
        <w:tc>
          <w:tcPr>
            <w:tcW w:w="283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FEASR</w:t>
            </w:r>
          </w:p>
        </w:tc>
        <w:tc>
          <w:tcPr>
            <w:tcW w:w="284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Sviluppo rurale</w:t>
            </w:r>
          </w:p>
        </w:tc>
        <w:tc>
          <w:tcPr>
            <w:tcW w:w="283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INVEST(73-74)</w:t>
            </w:r>
          </w:p>
        </w:tc>
        <w:tc>
          <w:tcPr>
            <w:tcW w:w="123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SRD01 - investimenti produttivi agricoli per la competitività delle aziende agricole</w:t>
            </w:r>
          </w:p>
        </w:tc>
        <w:tc>
          <w:tcPr>
            <w:tcW w:w="8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 in parte</w:t>
            </w:r>
          </w:p>
        </w:tc>
        <w:tc>
          <w:tcPr>
            <w:tcW w:w="10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O.20</w:t>
            </w:r>
          </w:p>
        </w:tc>
        <w:tc>
          <w:tcPr>
            <w:tcW w:w="93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c>
          <w:tcPr>
            <w:tcW w:w="5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c>
          <w:tcPr>
            <w:tcW w:w="96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r>
          </w:p>
        </w:tc>
        <w:tc>
          <w:tcPr>
            <w:tcW w:w="100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r>
    </w:tbl>
    <w:p>
      <w:pPr>
        <w:sectPr>
          <w:headerReference w:type="default" r:id="rId12"/>
          <w:headerReference w:type="first" r:id="rId13"/>
          <w:footerReference w:type="default" r:id="rId14"/>
          <w:footerReference w:type="first" r:id="rId15"/>
          <w:type w:val="nextPage"/>
          <w:pgSz w:orient="landscape" w:w="16838" w:h="11906"/>
          <w:pgMar w:left="720" w:right="936" w:gutter="0" w:header="0" w:top="720" w:footer="72" w:bottom="864"/>
          <w:pgNumType w:fmt="decimal"/>
          <w:formProt w:val="false"/>
          <w:textDirection w:val="lrTb"/>
          <w:docGrid w:type="default" w:linePitch="360" w:charSpace="0"/>
        </w:sectPr>
      </w:pPr>
    </w:p>
    <w:p>
      <w:pPr>
        <w:pStyle w:val="Heading2"/>
        <w:rPr/>
      </w:pPr>
      <w:bookmarkStart w:id="1" w:name="_Toc256000001"/>
      <w:r>
        <w:rPr/>
        <w:t>5.3 Interventi di sviluppo rurale</w:t>
      </w:r>
      <w:bookmarkEnd w:id="1"/>
    </w:p>
    <w:p>
      <w:pPr>
        <w:pStyle w:val="Heading3"/>
        <w:rPr/>
      </w:pPr>
      <w:bookmarkStart w:id="2" w:name="_Toc256000002"/>
      <w:r>
        <w:rPr/>
        <w:t>INVEST(73-74) - Investimenti, compresi gli investimenti nell'irrigazione</w:t>
      </w:r>
      <w:bookmarkEnd w:id="2"/>
    </w:p>
    <w:p>
      <w:pPr>
        <w:pStyle w:val="Heading4"/>
        <w:rPr/>
      </w:pPr>
      <w:bookmarkStart w:id="3" w:name="_Toc256000003"/>
      <w:r>
        <w:rPr/>
        <w:t>SRD01 - investimenti produttivi agricoli per la competitività delle aziende agricole</w:t>
      </w:r>
      <w:bookmarkEnd w:id="3"/>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Codice intervento (SM)</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SRD01</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Nome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investimenti produttivi agricoli per la competitività delle aziende agricole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Tipo di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INVEST(73-74) - Investimenti, compresi gli investimenti nell'irrigazione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Indicatore comune di output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O.20. Numero di operazioni o unità relative agli investimenti produttivi sovvenzionati nelle aziende agricole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Contributo al requisito della separazione dei fondi per</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Ricambio generazionale: No</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Ambiente: No</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Sistema di riduzioni ES:</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LEADER: No</w:t>
            </w:r>
          </w:p>
        </w:tc>
      </w:tr>
    </w:tbl>
    <w:p>
      <w:pPr>
        <w:pStyle w:val="Heading5"/>
        <w:jc w:val="left"/>
        <w:rPr>
          <w:rFonts w:ascii="Times New Roman" w:hAnsi="Times New Roman" w:eastAsia="Times New Roman" w:cs="Times New Roman"/>
          <w:b w:val="false"/>
          <w:color w:val="000000"/>
          <w:sz w:val="24"/>
        </w:rPr>
      </w:pPr>
      <w:bookmarkStart w:id="4" w:name="_Toc256000004"/>
      <w:r>
        <w:rPr>
          <w:rFonts w:eastAsia="Times New Roman" w:cs="Times New Roman"/>
          <w:b w:val="false"/>
          <w:color w:val="000000"/>
          <w:sz w:val="24"/>
        </w:rPr>
        <w:t>1 Ambito di applicazione territoriale e, se pertinente, dimensione regionale</w:t>
      </w:r>
      <w:bookmarkEnd w:id="4"/>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24"/>
        </w:rPr>
        <w:t xml:space="preserve">Ambito di applicazione territoriale: </w:t>
      </w:r>
      <w:r>
        <w:rPr>
          <w:rFonts w:eastAsia="Times New Roman" w:cs="Times New Roman"/>
          <w:b/>
          <w:i w:val="false"/>
          <w:color w:val="000000"/>
          <w:sz w:val="24"/>
        </w:rPr>
        <w:t>Nazionale, con elementi regionali</w:t>
      </w:r>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105" w:type="dxa"/>
        <w:tblLayout w:type="fixed"/>
        <w:tblCellMar>
          <w:top w:w="0" w:type="dxa"/>
          <w:left w:w="100" w:type="dxa"/>
          <w:bottom w:w="0" w:type="dxa"/>
          <w:right w:w="100" w:type="dxa"/>
        </w:tblCellMar>
      </w:tblPr>
      <w:tblGrid>
        <w:gridCol w:w="5124"/>
        <w:gridCol w:w="5125"/>
      </w:tblGrid>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5125"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Descrizione</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Italia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ITC1</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Piemonte</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ITC2</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Valle d’Aosta/Vallée d’Aoste</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ITC3</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Liguria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ITC4</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Lombardia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ITF1</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Abruzzo</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ITF2</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Molise</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ITF3</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Campania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ITF4</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Puglia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ITF5</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Basilicata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ITF6</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Calabria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ITG1</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Sicilia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ITG2</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Sardegna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ITH1</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Provincia Autonoma di Bolzano/Bozen</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ITH2</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Provincia Autonoma di Trento</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ITH3</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Veneto</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ITH4</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Friuli-Venezia Giulia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ITH5</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Emilia-Romagna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ITI1</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Toscana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ITI2</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Umbria</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ITI3</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Marche</w:t>
            </w:r>
          </w:p>
        </w:tc>
      </w:tr>
      <w:tr>
        <w:trPr>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ITI4</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Lazio</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Descrizione dell'ambito di applicazione territoriale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L’intervento è attivato da tutte le Regioni e Province Autonome italiane.</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242424"/>
                <w:shd w:fill="FFFFFF" w:val="clear"/>
              </w:rPr>
              <w:t>Ai sensi dell’articolo 155 del Reg. (Ue) 2115/2021 alcune Regioni e Provincie autonome prevedono di utilizzare il Feasr 2023-2027 anche (oppure solo) per onorare impegni, ancora pendenti, a favore dei beneficiari assunti a valere del Reg. (Ue) 1305/2013 di cui alle pertinenti misure dei Programmi di sviluppo rurale 2014-2022.</w:t>
            </w:r>
          </w:p>
          <w:p>
            <w:pPr>
              <w:pStyle w:val="Normal"/>
              <w:spacing w:before="40" w:after="40"/>
              <w:rPr>
                <w:rFonts w:ascii="Times New Roman" w:hAnsi="Times New Roman" w:eastAsia="Times New Roman" w:cs="Times New Roman"/>
              </w:rPr>
            </w:pPr>
            <w:r>
              <w:rPr>
                <w:rFonts w:eastAsia="Times New Roman" w:cs="Times New Roman"/>
                <w:color w:val="242424"/>
                <w:shd w:fill="FFFFFF" w:val="clear"/>
              </w:rPr>
              <w:t>Tali spese sono state inserite nella presente scheda ordinaria in quanto le Regioni e le Provincie autonome interessate hanno attestato che le condizioni di ammissibilità delle misure dei PSR 2014-2022 in questione sono simili e coerenti con le condizioni di ammissibilità descritte nel presente intervento del Piano strategico nazionale 2023-2027 e ne hanno verificato la transitabilità ai sensi del precitato articolo 155 del Reg. (Ue) 2115/2021.</w:t>
            </w:r>
          </w:p>
          <w:p>
            <w:pPr>
              <w:pStyle w:val="Normal"/>
              <w:suppressAutoHyphens w:val="true"/>
              <w:spacing w:before="40" w:after="40"/>
              <w:jc w:val="both"/>
              <w:rPr>
                <w:b/>
                <w:bCs/>
                <w:color w:val="auto"/>
                <w:highlight w:val="none"/>
                <w:shd w:fill="76FF03" w:val="clear"/>
              </w:rPr>
            </w:pPr>
            <w:r>
              <w:rPr>
                <w:rFonts w:eastAsia="Times New Roman" w:cs="Times New Roman"/>
                <w:b/>
                <w:bCs/>
                <w:color w:val="000000"/>
                <w:shd w:fill="76FF03" w:val="clear"/>
              </w:rPr>
              <w:t>La Regione Piemonte utilizza il presente intervento ANCHE ai fini del pagamento dei trascinamenti del Programma di sviluppo rurale 2014-2022, approvato con Decisione C(2015) 7456 del 28/10/2015 e s.m.i.</w:t>
            </w:r>
            <w:r>
              <w:rPr>
                <w:rStyle w:val="FootnoteReference"/>
                <w:rFonts w:eastAsia="Times New Roman" w:cs="Times New Roman"/>
                <w:b/>
                <w:bCs/>
                <w:color w:val="000000"/>
                <w:shd w:fill="76FF03" w:val="clear"/>
              </w:rPr>
              <w:footnoteReference w:id="2"/>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5" w:name="_Toc256000005"/>
      <w:r>
        <w:rPr>
          <w:rFonts w:eastAsia="Times New Roman" w:cs="Times New Roman"/>
          <w:b w:val="false"/>
          <w:i w:val="false"/>
          <w:color w:val="000000"/>
          <w:sz w:val="24"/>
        </w:rPr>
        <w:t>2 Obiettivi specifici correlati, obiettivo trasversale e obiettivi settoriali pertinenti</w:t>
      </w:r>
      <w:bookmarkEnd w:id="5"/>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dell'OBIETTIVO SPECIFICO DELLA PAC</w:t>
            </w:r>
            <w:r>
              <w:rPr>
                <w:rFonts w:eastAsia="Times New Roman" w:cs="Times New Roman"/>
                <w:b w:val="false"/>
                <w:i w:val="false"/>
                <w:color w:val="000000"/>
                <w:sz w:val="20"/>
              </w:rPr>
              <w:t xml:space="preserve"> Gli obiettivi specifici della PAC raccomandati per questo tipo di intervento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SO2 Migliorare l'orientamento al mercato e aumentare la competitività dell'azienda agricola nel breve e nel lungo periodo, anche attraverso una maggiore attenzione alla ricerca, alla tecnologia e alla digitalizzazione</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SO4 Contribuire alla mitigazione dei cambiamenti climatici e all'adattamento a essi, anche attraverso la riduzione delle emissioni di gas a effetto serra e il miglioramento del sequestro del carbonio, nonché promuovere l'energia sostenibile</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SO5 Favorire lo sviluppo sostenibile e un'efficiente gestione delle risorse naturali come l'acqua, il suolo e l'aria, anche attraverso la riduzione della dipendenza chimica</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XCO Obiettivo trasversale di ammodernamento del settore, promuovendo e condividendo conoscenze, innovazioni e processi di digitalizzazione nell'agricoltura e nelle aree rurali e incoraggiandone l'utilizzo</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Heading5"/>
        <w:spacing w:before="20" w:after="20"/>
        <w:jc w:val="left"/>
        <w:rPr>
          <w:rFonts w:ascii="Times New Roman" w:hAnsi="Times New Roman" w:eastAsia="Times New Roman" w:cs="Times New Roman"/>
          <w:b w:val="false"/>
          <w:i w:val="false"/>
          <w:i w:val="false"/>
          <w:color w:val="000000"/>
          <w:sz w:val="24"/>
        </w:rPr>
      </w:pPr>
      <w:bookmarkStart w:id="6" w:name="_Toc256000006"/>
      <w:r>
        <w:rPr>
          <w:rFonts w:eastAsia="Times New Roman" w:cs="Times New Roman"/>
          <w:b w:val="false"/>
          <w:i w:val="false"/>
          <w:color w:val="000000"/>
          <w:sz w:val="24"/>
        </w:rPr>
        <w:t>3 Esigenza o esigenze affrontate mediante l'intervento</w:t>
      </w:r>
      <w:bookmarkEnd w:id="6"/>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2562"/>
        <w:gridCol w:w="2562"/>
        <w:gridCol w:w="2563"/>
        <w:gridCol w:w="2562"/>
      </w:tblGrid>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Descrizione</w:t>
            </w:r>
          </w:p>
        </w:tc>
        <w:tc>
          <w:tcPr>
            <w:tcW w:w="256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Definizione delle priorità a livello del piano strategico della PAC</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Affrontata nel CSP</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E1.1</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Accrescere la redditività delle aziende agricole, agroalimentari e forestali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Strategico</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E1.2</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Promuovere l’orientamento al mercato delle aziende agricole</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Strategico</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E1.4</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Facilitare l’accesso al credito da parte delle aziende agricole, agroalimentari e forestali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Complementare</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7" w:name="_Toc256000007"/>
      <w:r>
        <w:rPr>
          <w:rFonts w:eastAsia="Times New Roman" w:cs="Times New Roman"/>
          <w:b w:val="false"/>
          <w:i w:val="false"/>
          <w:color w:val="000000"/>
          <w:sz w:val="24"/>
        </w:rPr>
        <w:t>4 Indicatore o indicatori di risultato</w:t>
      </w:r>
      <w:bookmarkEnd w:id="7"/>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degli INDICATORI DI RISULTATO</w:t>
            </w:r>
            <w:r>
              <w:rPr>
                <w:rFonts w:eastAsia="Times New Roman" w:cs="Times New Roman"/>
                <w:b w:val="false"/>
                <w:i w:val="false"/>
                <w:color w:val="000000"/>
                <w:sz w:val="20"/>
              </w:rPr>
              <w:t xml:space="preserve"> Gli indicatori di risultato raccomandati per gli obiettivi specifici della PAC selezionati, relativi all'intervento in questione,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R.15 Investimenti finanziati nella capacità di produzione di energia rinnovabile, compresa quella a partire da materie prime biologiche (in MW)</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R.16 Percentuale di aziende agricole beneficiarie del sostegno agli investimenti della PAC che contribuiscono alla mitigazione dei cambiamenti climatici e all'adattamento ai medesimi, nonché alla produzione di energia rinnovabile o biomateriali</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R.26 Percentuale di aziende agricole che beneficiano del sostegno della PAC e del sostegno agli investimenti non produttivi relativi alla salvaguardia delle risorse naturali</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R.3 Percentuale di aziende agricole che beneficiano del sostegno alla tecnologia dell'agricoltura digitale tramite la PAC</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R.9 Percentuale di agricoltori che ricevono un sostegno agli investimenti per ristrutturare e ammodernare le aziende oltre che per migliorare l'efficienza delle risorse</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8" w:name="_Toc256000008"/>
      <w:r>
        <w:rPr>
          <w:rFonts w:eastAsia="Times New Roman" w:cs="Times New Roman"/>
          <w:b w:val="false"/>
          <w:i w:val="false"/>
          <w:color w:val="000000"/>
          <w:sz w:val="24"/>
        </w:rPr>
        <w:t>5 Concezione specifica, requisiti e condizioni di ammissibilità dell'intervento</w:t>
      </w:r>
      <w:bookmarkEnd w:id="8"/>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Descrivere gli obiettivi specifici e il contenuto dell'intervento compresi i destinatari specifici, i principi di selezione, i collegamenti con la normativa pertinente, la complementarità con altri interventi/serie di operazioni in entrambi i pilastri e altre informazioni pertinenti.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u w:val="single"/>
              </w:rPr>
              <w:t>Finalità e descrizione generale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L’intervento è finalizzato a potenziare la competitività sui mercati delle aziende agricole e ad accrescere la redditività delle stesse, migliorandone, al contempo, le performance climatico- ambientali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Tali finalità saranno perseguite attraverso la valorizzazione delle strutture aziendali, l’incremento della produttività e l’adeguamento della struttura dei costi e dei ricavi aziendali.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In tale contesto, è prevista la concessione del sostegno ad investimenti, anche collettivi, connessi al ciclo produttivo agricolo delle aziende, che perseguono una o più delle seguenti finalità specifiche: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a) valorizzazione del capitale fondiario (miglioramento e ricomposizione fondiari, miglioramento e/o nuova realizzazione di strutture produttive) e delle dotazioni delle aziende, inclusi gli investimenti in nuovi impianti irrigui (anche con funzioni antibrina) che possono comportare una estensione delle superfici irrigate nonché la realizzazione e miglioramento di stoccaggi idrici alimentati non esclusivamente da acque stagionali.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b) incremento delle prestazioni climatico-ambientali e per il benessere animale, anche attraverso la riduzione ed ottimizzazione dell’utilizzo degli input produttivi (incluso l’approvvigionamento energetico ai fini dell’autoconsumo), la riduzione e gestione sostenibile dei residui di produzione e la rimozione e smaltimento dell’amianto/cemento amianto;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c) miglioramento delle caratteristiche dei prodotti e differenziazione della produzione sulla base delle esigenze di mercato;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d) introduzione di innovazione tecnica e gestionale dei processi produttivi attraverso investimenti in tecnologia digitale;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e) valorizzazione delle produzioni agricole aziendali attraverso la lavorazione, trasformazione e commercializzazione (incluse le fasi di conservazione/immagazzinamento e di confezionamento) dei prodotti, anche nell’ambito di filiere locali e/o corte.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Collegamento con le esigenze e rilievo strategico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Gli investimenti previsti rispondono ai fabbisogni di intervento delineati nelle esigenze 1.1 (aumento redditività) ed 1.2 (orientamento al mercato). Al riguardo, l’analisi stabilisce per le stesse esigenze una complessiva e sostanziale strategicità su tutte le aree del paese con un relativo più marcato fabbisogno di intervento per le aree a maggiore vocazione produttiva. Tale forte strategicità, letta anche in relazione al complesso delle esigenze del Piano, predispone il presente intervento ad assumere un rilievo centrale, anche in termini finanziari, nel panorama complessivo degli interventi da attivare.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Inoltre, la possibile attuazione dell’intervento attraverso strumenti finanziari è strumentale al perseguimento all’esigenza 1.4 (facilitare l’accesso al credito).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Collegamento con i risultati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Tutte le operazioni di investimento previste dal presente intervento forniscono un contributo diretto e significativo al raggiungimento dei risultati di cui all’indicatore R.9 e, pertanto, concorrono alla sua valorizzazione. Le operazioni inquadrate nell’ambito della precedente lettera b) forniranno un contributo anche alla valorizzazione dell’indicatore R.26 mentre le operazioni connesse con la finalità di cui alla lettera d) forniscono un contributo diretto e significativo per il raggiungimento dei risultati di cui all’indicatore R.3.</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Collegamento con altri interventi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Gli investimenti supportati si collegano, in modo sinergico e complementare, ad altri interventi del Piano destinati ad accrescere le performance delle aziende agricole. Tale collegamento è individuabile sia sotto il profilo del miglioramento complessivo della competitività e della redditività aziendale sia al fine di sostenere il contributo verso la transizione ecologica.</w:t>
            </w:r>
          </w:p>
          <w:p>
            <w:pPr>
              <w:pStyle w:val="Normal"/>
              <w:spacing w:before="40" w:after="40"/>
              <w:jc w:val="both"/>
              <w:rPr>
                <w:rFonts w:ascii="Times New Roman" w:hAnsi="Times New Roman" w:eastAsia="Times New Roman" w:cs="Times New Roman"/>
              </w:rPr>
            </w:pPr>
            <w:r>
              <w:rPr>
                <w:rFonts w:eastAsia="Times New Roman" w:cs="Times New Roman"/>
              </w:rPr>
              <w:t>Sotto quest’ultimo aspetto, va sottolineato che il presente intervento prevede già al suo interno la possibilità di fornire sostegno ad investimenti che contribuiscono a migliorare le performance ambientali delle aziende agricole e di benessere animale. Tale contributo verrà ulteriormente rafforzato attraverso l’attivazione dell’intervento SRD002 “Investimenti produttivi agricoli per ambiente clima e benessere animale” più direttamente orientato a fornire un contributo agli Obiettivi specifici ambientali.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Sotto il profilo delle redditività aziendale, invece, il presente intervento agirà sinergicamente con l’intervento SRD003 “Investimenti nelle aziende agricole per la diversificazione in attività non agricole”, migliorando la capacità delle aziende di accrescere e stabilizzare la redditiva stessa.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La stabilizzazione della reddittività aziendale sarà altresì perseguita attraverso l’intervento SRD006 “Investimenti per la prevenzione ed il rispristino del potenziale produttivo agricolo” volto a prevenire e compensare i possibili effetti avversi (sulle strutture produttive) di eventi metereologici estremi e catastrofi naturali così come attraverso gli interventi del Piano per la gestione del rischio a tutela delle produzioni e delle oscillazioni del reddito agricolo.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In materia di investimenti irrigui aziendali, il presente intervento agisce in complementarità con quanto previsto sullo stesso tema nell’intervento SRD02. In particolare, nell’ambito dell’intervento SRD01, più strettamente orientato alla competitività, viene fornito un sostegno (alle condizioni previste dai criteri di ammissibilità) per: a) investimenti in nuovi impianti irrigui che possono incrementare la superficie irrigua aziendale; b) miglioramento, rinnovo e ripristino degli impianti esistenti che possono comportare un’estensione delle superfici irrigate;</w:t>
            </w:r>
          </w:p>
          <w:p>
            <w:pPr>
              <w:pStyle w:val="Normal"/>
              <w:spacing w:before="40" w:after="40"/>
              <w:jc w:val="both"/>
              <w:rPr>
                <w:rFonts w:ascii="Times New Roman" w:hAnsi="Times New Roman" w:eastAsia="Times New Roman" w:cs="Times New Roman"/>
              </w:rPr>
            </w:pPr>
            <w:r>
              <w:rPr>
                <w:rFonts w:eastAsia="Times New Roman" w:cs="Times New Roman"/>
              </w:rPr>
              <w:t>c) realizzazione e miglioramento di stoccaggi idrici alimentati non esclusivamente da acque stagionali. Invece, in considerazione della più marcata finalità ambientale dell’intervento SRD02, per lo stesso gli investimenti irrigui sono limitati (alle condizioni previste dai criteri di ammissibilità) al: a) miglioramento, rinnovo e ripristino di impianti irrigui aziendali non finalizzati alla estensione delle superfici irrigue e che comportino un risparmio nell’utilizzo di risorse idriche; b) investimenti per la realizzazione e miglioramenti di bacini e stoccaggi, esclusivamente di acque stagionali; c) impianti per l’utilizzo di acque affinate come alternativa ai prelievi da corpi idrici.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Le predette sinergie e complementarità potranno essere ulteriormente rafforzate attraverso specifici meccanismi attuativi, tra cui la pubblicazione di inviti a presentare proposte che combinino/integrino più interventi di investimento aziendale, ovvero attraverso bandi tematici, così da evitare la frammentazione delle progettualità dei beneficiari e consentire un’attuazione più organica delle operazioni.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Allo stesso modo, il presente intervento potrà essere combinato con altri interventi previsti dal Piano attraverso modalità di progettazione integrata lche contribuiranno a rendere maggiormente coerente ed efficace l’attuazione del Piano stesso.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Infine, l’intervento si pone in sinergia con alcune misure finanziate nell’ambito del PNRR, con particolare riferimento agli investimenti per il rinnovamento dei macchinari, per l'introduzione di tecniche di agricoltura di precisione, per l’utilizzo di tecnologie di agricoltura 4.0, per la sostituzione dei vecchi trattori inquinanti e per l'ammodernamento dei processi di lavorazione, stoccaggio e confezionamento dell'olio di oliva.</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Principi di selezione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L’intervento prevede l’utilizzo di criteri di selezione delle operazioni ai sensi dell’art. 79 del Regolamento (UE) n. 2021/2115. Tali criteri sono stabiliti dalle Autorità di Gestione Regionali, previa consultazione dei Comitati di Monitoraggio Regionali, ciascuna per il proprio ambito di competenza territoriale.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Gli stessi criteri di selezione dovranno essere definiti in modo da garantire la parità di trattamento dei richiedenti, un migliore utilizzo delle risorse finanziarie e l'orientamento del sostegno in conformità con gli obiettivi dell’intervento.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Attraverso l’attribuzione di determinati punteggi connessi ai criteri di selezione, le Autorità di Gestione Regionali definiscono graduatorie atte ad individuare le proposte progettuali ammissibili. Allo scopo di definire una maggiore qualità progettuale, le Autorità di Gestione Regionali stabiliscono altresì punteggi minimi al di sotto dei quali le proposte dai richiedenti non potranno comunque essere ammissibili.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Tenuto conto di quanto sopra esposto, i criteri di selezione saranno stabiliti sulla base dei seguenti principi, orientati e declinati da ciascuna Regione e Provincia Autonoma sulla base di una lettura territoriale delle esigenze e degli obiettivi dell’intervento effettuata con il partenariato, tenuto anche conto degli altri obiettivi del PSP:</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finalità specifiche degli investimenti, quali ad esempio l’introduzione e lo sviluppo di tecnologie digitali;</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comparti produttivi oggetto di intervento, quali ad esempio i comparti che soffrono di un gap in investimenti strutturali;</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localizzazione territoriale degli investimenti, quali ad esempio le aree regionali con più ampio svantaggio competitivo;</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caratteristiche del soggetto richiedente, quali ad esempio i giovani agricoltori, il grado di professionalità del richiedente ovvero delle caratteristiche aziendali, quali ad esempio le dimensioni aziendali, il non avere usufruito contribuiti pubblici in precedenza;</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dimensione economica dell’operazione;</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collegamento con altri interventi del Piano, quali ad esempio la progettazione integrata;</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effetti ambientali quali ad esempio investimenti irrigui che prevedono il prelievo delle risorse idriche da bacini o riserve di acqua piovana e/o da acque affinate;</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caratteristiche del progetto di investimento, quali ad esempio stato di cantierabiltà;</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rPr>
              <w:t>sistemi produttivi sui quali insistono gli investimenti quali ad esempio l'agricoltura biologica.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Si riportano di seguito le scelte Regionali in merito ai principi di selezione da utilizzare per l’intervento SRD01:</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4"/>
              <w:gridCol w:w="466"/>
              <w:gridCol w:w="464"/>
              <w:gridCol w:w="465"/>
              <w:gridCol w:w="464"/>
              <w:gridCol w:w="464"/>
              <w:gridCol w:w="463"/>
              <w:gridCol w:w="473"/>
              <w:gridCol w:w="455"/>
              <w:gridCol w:w="476"/>
              <w:gridCol w:w="452"/>
              <w:gridCol w:w="475"/>
              <w:gridCol w:w="468"/>
              <w:gridCol w:w="460"/>
              <w:gridCol w:w="472"/>
              <w:gridCol w:w="456"/>
              <w:gridCol w:w="475"/>
              <w:gridCol w:w="458"/>
              <w:gridCol w:w="470"/>
              <w:gridCol w:w="465"/>
              <w:gridCol w:w="463"/>
              <w:gridCol w:w="439"/>
            </w:tblGrid>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43"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Principi di selezione applicabili per l'intervento SRD01</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Finalità specifiche investimenti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Comparti produttivi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 territoriale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Caratterstiche del soggetto richiedente e/o azienda</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 escluso caso attivazione a pacchetto con SRE01</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Dimensione economica dell’operazione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Connessione con altri interventi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Effetti ambientali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Caratteristiche del progetto</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Sistemi produttivi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Note: La Regione Emilia-Romagna utilizza, oltre a quelli selezionati in tabella, anche il seguente principio di selezione:</w:t>
            </w:r>
          </w:p>
          <w:p>
            <w:pPr>
              <w:pStyle w:val="Normal"/>
              <w:numPr>
                <w:ilvl w:val="0"/>
                <w:numId w:val="2"/>
              </w:numPr>
              <w:spacing w:before="40" w:after="40"/>
              <w:ind w:hanging="210" w:left="720"/>
              <w:jc w:val="left"/>
              <w:rPr>
                <w:rFonts w:ascii="Times New Roman" w:hAnsi="Times New Roman" w:eastAsia="Times New Roman" w:cs="Times New Roman"/>
              </w:rPr>
            </w:pPr>
            <w:r>
              <w:rPr>
                <w:rFonts w:eastAsia="Times New Roman" w:cs="Times New Roman"/>
              </w:rPr>
              <w:t>Presenza di vincoli di conferimento o accordi pluriennali con altri segmenti della filiera a valle della fase di produzione primaria. Ai fini dell’assegnazione del punteggio, l’accordo sarà valido se avvallato dalle organizzazioni professionali agricole e/o dalle organizzazioni interprofessionali riconosciute.</w:t>
            </w:r>
          </w:p>
          <w:p>
            <w:pPr>
              <w:pStyle w:val="Normal"/>
              <w:spacing w:before="40" w:after="40"/>
              <w:jc w:val="both"/>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 beneficiari ammissibili e gli specifici criteri di ammissibilità, se pertinenti per il beneficiario e la zona</w:t>
      </w:r>
    </w:p>
    <w:tbl>
      <w:tblPr>
        <w:tblW w:w="10203" w:type="dxa"/>
        <w:jc w:val="left"/>
        <w:tblInd w:w="72" w:type="dxa"/>
        <w:tblLayout w:type="fixed"/>
        <w:tblCellMar>
          <w:top w:w="20" w:type="dxa"/>
          <w:left w:w="20" w:type="dxa"/>
          <w:bottom w:w="0" w:type="dxa"/>
          <w:right w:w="20" w:type="dxa"/>
        </w:tblCellMar>
      </w:tblPr>
      <w:tblGrid>
        <w:gridCol w:w="10203"/>
      </w:tblGrid>
      <w:tr>
        <w:trPr>
          <w:trHeight w:val="160" w:hRule="atLeast"/>
        </w:trPr>
        <w:tc>
          <w:tcPr>
            <w:tcW w:w="10203"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b/>
                <w:bCs/>
              </w:rPr>
              <w:t xml:space="preserve">CR01 - </w:t>
            </w:r>
            <w:r>
              <w:rPr>
                <w:rFonts w:eastAsia="Times New Roman" w:cs="Times New Roman"/>
              </w:rPr>
              <w:t>Imprenditori agricoli, singoli o associati, ai sensi dell’art. 2135 del codice civile, con l’esclusione degli imprenditori che esercitano esclusivamente attività di selvicoltura e acquacoltura ovvero imprenditori che, tenuto conto dell’esclusione predetta, esercitano l’attività di coltivazione del fondo, selvicoltura, allevamento di animali e attività connesse.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Note:</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Emilia-Romagna, sono ammissibili ai benefici del sostegno anche le proprietà collettive, limitatamente ad interventi sui terreni non assegnati ma gestiti direttamente dalle stesse.</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Lombardia, gli imprenditori devono condurre un’azienda agricola che rispetti la Direttiva del Consiglio del 12 dicembre 1991 (91/676/CEE), relativa alla protezione delle acque dall’inquinamento provocato dai nitrati provenienti da fonti agricole, e le corrispondenti norme regionali.</w:t>
            </w:r>
          </w:p>
          <w:p>
            <w:pPr>
              <w:pStyle w:val="Normal"/>
              <w:spacing w:before="40" w:after="40"/>
              <w:jc w:val="both"/>
              <w:rPr>
                <w:strike w:val="false"/>
                <w:dstrike w:val="false"/>
                <w:highlight w:val="none"/>
                <w:shd w:fill="76FF03" w:val="clear"/>
              </w:rPr>
            </w:pPr>
            <w:r>
              <w:rPr>
                <w:b/>
                <w:bCs/>
                <w:strike w:val="false"/>
                <w:dstrike w:val="false"/>
                <w:color w:val="2A6099"/>
                <w:shd w:fill="76FF03" w:val="clear"/>
              </w:rPr>
              <w:t>Con riferimento alla Regione Piemonte, per i trascinamenti 4.1.2 PSR 2014-2022: agricoltori, singoli o associati, che al momento della presentazione della domanda hanno una età compresa tra 18 anni (compiuti) e 41 anni (non compiuti).</w:t>
            </w:r>
            <w:r>
              <w:rPr>
                <w:rStyle w:val="FootnoteReference"/>
                <w:b/>
                <w:bCs/>
                <w:strike w:val="false"/>
                <w:dstrike w:val="false"/>
                <w:color w:val="2A6099"/>
                <w:shd w:fill="76FF03" w:val="clear"/>
              </w:rPr>
              <w:footnoteReference w:id="3"/>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 xml:space="preserve">CR02 – </w:t>
            </w:r>
            <w:r>
              <w:rPr>
                <w:rFonts w:eastAsia="Times New Roman" w:cs="Times New Roman"/>
              </w:rPr>
              <w:t>Laddove giustificato e coerente rispetto alle esigenze e gli obiettivi dell’intervento, e nella misura in cui ciò non comporti alcun tipo di discriminazione non giustificata, la definizione dei possibili beneficiari potrà essere mirata, nell’ambito dei documenti attuativi del presente Piano, con l’obiettivo di migliorare il targeting dell’intervento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CR03</w:t>
            </w:r>
            <w:r>
              <w:rPr>
                <w:rFonts w:eastAsia="Times New Roman" w:cs="Times New Roman"/>
              </w:rPr>
              <w:t xml:space="preserve"> – Al fine di garantire un maggior grado di sostenibilità economica degli investimenti, possono essere escluse dai benefici del sostegno le imprese agricole che abbiano una dimensione minima inferiore ad una determinata soglia espressa in termini di produzione standard.</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2"/>
              <w:gridCol w:w="461"/>
              <w:gridCol w:w="465"/>
              <w:gridCol w:w="462"/>
              <w:gridCol w:w="462"/>
              <w:gridCol w:w="462"/>
              <w:gridCol w:w="461"/>
              <w:gridCol w:w="474"/>
              <w:gridCol w:w="451"/>
              <w:gridCol w:w="473"/>
              <w:gridCol w:w="458"/>
              <w:gridCol w:w="467"/>
              <w:gridCol w:w="463"/>
              <w:gridCol w:w="458"/>
              <w:gridCol w:w="473"/>
              <w:gridCol w:w="453"/>
              <w:gridCol w:w="470"/>
              <w:gridCol w:w="462"/>
              <w:gridCol w:w="462"/>
              <w:gridCol w:w="462"/>
              <w:gridCol w:w="462"/>
              <w:gridCol w:w="437"/>
            </w:tblGrid>
            <w:tr>
              <w:trPr/>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698"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CR03 - Soglie minime di dimensione aziendale in termini di produzione standard - EUR (.000)</w:t>
                  </w:r>
                </w:p>
              </w:tc>
            </w:tr>
            <w:tr>
              <w:trPr/>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Soglia ordinaria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c>
                <w:tcPr>
                  <w:tcW w:w="4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18</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(per i soli investimenti in olivicoltura).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4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r>
            <w:tr>
              <w:trPr/>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svantagg. (Abruzzo) o montagna (Veneto, Lazio, Molise)</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r>
            <w:tr>
              <w:trPr/>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 soglia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Note</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Marche, la soglia indicata può essere raggiunta prendendo in conto anche la produzione standard ottenibile grazie agli investimenti strutturali inseriti nella operazione che riceve il contributo pubblico (PS post investimento).</w:t>
            </w:r>
          </w:p>
          <w:p>
            <w:pPr>
              <w:pStyle w:val="Normal"/>
              <w:spacing w:before="40" w:after="40"/>
              <w:jc w:val="both"/>
              <w:rPr>
                <w:rFonts w:ascii="Times New Roman" w:hAnsi="Times New Roman" w:eastAsia="Times New Roman" w:cs="Times New Roman"/>
              </w:rPr>
            </w:pPr>
            <w:r>
              <w:rPr>
                <w:rFonts w:eastAsia="Times New Roman" w:cs="Times New Roman"/>
              </w:rPr>
              <w:t>La regione Emilia-Romagna per le operazioni in trascinamento dalla programmazione 2014-2022 applica le previsioni del PSR 2014-2022, come di seguito riportato:</w:t>
            </w:r>
          </w:p>
          <w:p>
            <w:pPr>
              <w:pStyle w:val="Normal"/>
              <w:spacing w:before="40" w:after="40"/>
              <w:jc w:val="both"/>
              <w:rPr>
                <w:rFonts w:ascii="Times New Roman" w:hAnsi="Times New Roman" w:eastAsia="Times New Roman" w:cs="Times New Roman"/>
              </w:rPr>
            </w:pPr>
            <w:r>
              <w:rPr>
                <w:rFonts w:eastAsia="Times New Roman" w:cs="Times New Roman"/>
              </w:rPr>
              <w:t>la dimensione economica aziendale dovrà risultare superiore a 15.000 euro di Standard Output in zone con vincoli naturali o altri vincoli specifici e 20.000 euro di Standard Output negli altri ambiti territoriali regionali; per aziende che partecipano a progetti collettivi attraverso la forma della “comunione a scopo di godimento” dette soglie di Standard Output sono ridotte, rispettivamente, a 12.000 euro e 15.000 euro.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CR04</w:t>
            </w:r>
            <w:r>
              <w:rPr>
                <w:rFonts w:eastAsia="Times New Roman" w:cs="Times New Roman"/>
              </w:rPr>
              <w:t xml:space="preserve"> - In caso di sostegno fornito attraverso strumenti finanziari, ai destinatari finali del sostegno si applicano i medesimi criteri di ammissibilità per i beneficiari, così sopra riportati nei precedenti punti CR01, CR2 e CR03.</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il tipo di sostegno (non SIGC) o impegno (SIGC) ammissibile e altri obblighi</w:t>
      </w:r>
    </w:p>
    <w:tbl>
      <w:tblPr>
        <w:tblW w:w="10228" w:type="dxa"/>
        <w:jc w:val="left"/>
        <w:tblInd w:w="47" w:type="dxa"/>
        <w:tblLayout w:type="fixed"/>
        <w:tblCellMar>
          <w:top w:w="20" w:type="dxa"/>
          <w:left w:w="20" w:type="dxa"/>
          <w:bottom w:w="0" w:type="dxa"/>
          <w:right w:w="20" w:type="dxa"/>
        </w:tblCellMar>
      </w:tblPr>
      <w:tblGrid>
        <w:gridCol w:w="10228"/>
      </w:tblGrid>
      <w:tr>
        <w:trPr>
          <w:trHeight w:val="160" w:hRule="atLeast"/>
        </w:trPr>
        <w:tc>
          <w:tcPr>
            <w:tcW w:w="10228"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u w:val="single"/>
              </w:rPr>
              <w:t>Criteri di ammissibilità delle operazioni di investimento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CR05</w:t>
            </w:r>
            <w:r>
              <w:rPr>
                <w:rFonts w:eastAsia="Times New Roman" w:cs="Times New Roman"/>
              </w:rPr>
              <w:t xml:space="preserve"> - Sono ammissibili a sostegno gli investimenti che perseguono una o più delle finalità specifiche indicate nella sezione dedicata agli obiettivi. In particolare, le finalità attivate da ciascuna Regione e Provincia Autonoma riportate nella seguente tabella:</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3"/>
              <w:gridCol w:w="465"/>
              <w:gridCol w:w="463"/>
              <w:gridCol w:w="464"/>
              <w:gridCol w:w="463"/>
              <w:gridCol w:w="463"/>
              <w:gridCol w:w="462"/>
              <w:gridCol w:w="474"/>
              <w:gridCol w:w="452"/>
              <w:gridCol w:w="475"/>
              <w:gridCol w:w="451"/>
              <w:gridCol w:w="474"/>
              <w:gridCol w:w="468"/>
              <w:gridCol w:w="458"/>
              <w:gridCol w:w="472"/>
              <w:gridCol w:w="454"/>
              <w:gridCol w:w="474"/>
              <w:gridCol w:w="455"/>
              <w:gridCol w:w="471"/>
              <w:gridCol w:w="465"/>
              <w:gridCol w:w="461"/>
              <w:gridCol w:w="438"/>
            </w:tblGrid>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2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CR05 – Finalità speficiche attivate</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Note:</w:t>
            </w:r>
          </w:p>
          <w:p>
            <w:pPr>
              <w:pStyle w:val="Normal"/>
              <w:spacing w:before="40" w:after="40"/>
              <w:jc w:val="both"/>
              <w:rPr>
                <w:rFonts w:ascii="Times New Roman" w:hAnsi="Times New Roman" w:eastAsia="Times New Roman" w:cs="Times New Roman"/>
              </w:rPr>
            </w:pPr>
            <w:r>
              <w:rPr>
                <w:rFonts w:eastAsia="Times New Roman" w:cs="Times New Roman"/>
              </w:rPr>
              <w:t>La P.A. di Bolzano limita le operazioni di investimento alle stalle per l'allevamento prevalente di bovini, in particolare interviene sulla struttura principale delle stesse nonché sui locali annessi ed i macchinari. Quindi le operazioni sono limitate a tipologie di investimenti ben definite, che per la loro natura non perseguono tutte le finalità del presente intervento.</w:t>
            </w:r>
          </w:p>
          <w:p>
            <w:pPr>
              <w:pStyle w:val="Normal"/>
              <w:spacing w:before="40" w:after="40"/>
              <w:jc w:val="both"/>
              <w:rPr>
                <w:rFonts w:ascii="Times New Roman" w:hAnsi="Times New Roman" w:eastAsia="Times New Roman" w:cs="Times New Roman"/>
              </w:rPr>
            </w:pPr>
            <w:r>
              <w:rPr>
                <w:rFonts w:eastAsia="Times New Roman" w:cs="Times New Roman"/>
              </w:rPr>
              <w:t>La Regione Lombardia non prevede il sostegno ad investimenti irrigui nell’ambito della finalità a) del presente intervento. La stessa prevede di realizzare solo investimenti irrigui con finalità ambientale nell’ambito dell’intervento SRD02.</w:t>
            </w:r>
          </w:p>
          <w:p>
            <w:pPr>
              <w:pStyle w:val="Normal"/>
              <w:spacing w:before="40" w:after="40"/>
              <w:jc w:val="both"/>
              <w:rPr>
                <w:rFonts w:ascii="Times New Roman" w:hAnsi="Times New Roman" w:eastAsia="Times New Roman" w:cs="Times New Roman"/>
              </w:rPr>
            </w:pPr>
            <w:r>
              <w:rPr>
                <w:rFonts w:eastAsia="Times New Roman" w:cs="Times New Roman"/>
              </w:rPr>
              <w:t>Per la Regione Sicilia si intende attivare l’acquisto dei terreni per un massimo del 30% della spesa ammissibile totale in deroga, per le fattispecie consentite, all’art. 73 del Reg (UE) 2021/2115.</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CR06</w:t>
            </w:r>
            <w:r>
              <w:rPr>
                <w:rFonts w:eastAsia="Times New Roman" w:cs="Times New Roman"/>
              </w:rPr>
              <w:t xml:space="preserve"> – Sono ammissibili a sostegno tutti i comparti produttivi connessi alla produzione dei prodotti elencati nell’allegato I del TFUE, con l’esclusione dei prodotti della pesca e dell’acquacoltura. Specifici criteri di ammissibilità settoriali per determinate Regioni e Province Autonome, stabiliti sulla base delle caratteristiche strutturali e territoriali, sono di seguito riportati:</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883"/>
              <w:gridCol w:w="3351"/>
              <w:gridCol w:w="4954"/>
            </w:tblGrid>
            <w:tr>
              <w:trPr/>
              <w:tc>
                <w:tcPr>
                  <w:tcW w:w="188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Regione/PA</w:t>
                  </w:r>
                </w:p>
              </w:tc>
              <w:tc>
                <w:tcPr>
                  <w:tcW w:w="33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Comparti ammissibili/esclusioni</w:t>
                  </w:r>
                </w:p>
              </w:tc>
              <w:tc>
                <w:tcPr>
                  <w:tcW w:w="49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Motivazioni</w:t>
                  </w:r>
                </w:p>
              </w:tc>
            </w:tr>
            <w:tr>
              <w:trPr/>
              <w:tc>
                <w:tcPr>
                  <w:tcW w:w="18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Bolzano</w:t>
                  </w:r>
                </w:p>
              </w:tc>
              <w:tc>
                <w:tcPr>
                  <w:tcW w:w="33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È ammissibile il solo settore lattiero caseario limitatamente alle strutture produttive di aziende con indirizzo prevalente di bovini da latte ed ingrasso.</w:t>
                  </w:r>
                </w:p>
              </w:tc>
              <w:tc>
                <w:tcPr>
                  <w:tcW w:w="49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 Sviluppo Rurale nella Provincia di Bolzano è fortemente collegato all’agricoltura di montagna, come già nei periodi di programmazione precedenti. Pur non dal punto di vista puramente economico, ma per le condizioni pedologiche e climatiche del territorio nonché le peculiarità ambientali, l’agricoltura di alta montagna rappresenta di gran lunga la parte più consistente della realtà agricola, con una forte necessità di ammodernamento delle strutture edili aziendali. Sia per numero di aziende soprattutto medio piccole, che anche per la superficie interessata, l’agricoltura di montagna è al centro delle necessarie politiche di sostegno a favore del settore agricolo</w:t>
                  </w:r>
                </w:p>
              </w:tc>
            </w:tr>
            <w:tr>
              <w:trPr/>
              <w:tc>
                <w:tcPr>
                  <w:tcW w:w="188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33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è ammissibile il sostegno per le colture dedicate alla produzione di bio-conbustibili quali la produzione di biomassa e le short rotation;</w:t>
                  </w:r>
                </w:p>
              </w:tc>
              <w:tc>
                <w:tcPr>
                  <w:tcW w:w="495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viene fornito sostegno ad investimenti a favore di comparti le cui produzioni sono destinate alla produzione di energia.</w:t>
                  </w:r>
                </w:p>
              </w:tc>
            </w:tr>
            <w:tr>
              <w:trPr/>
              <w:tc>
                <w:tcPr>
                  <w:tcW w:w="188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33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Regione attiverà l’intervento anche con riferimento a comparti produttivi specifici e/o in modalità integrata con altri interventi prevedendo eventuali condizioni e/o limitazioni specifiche all’interno del Complemento Regionale di Sviluppo Rurale o negli avvisi pubblici di selezione.</w:t>
                  </w:r>
                </w:p>
              </w:tc>
              <w:tc>
                <w:tcPr>
                  <w:tcW w:w="49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Coerenza con le strategie e priorità di intervento regionali.</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CR07</w:t>
            </w:r>
            <w:r>
              <w:rPr>
                <w:rFonts w:eastAsia="Times New Roman" w:cs="Times New Roman"/>
              </w:rPr>
              <w:t xml:space="preserve"> – Ai fini dell’ammissibilità è necessario che la domanda di sostegno sia corredata dalla presentazione di un Progetto di investimento e/o di un Piano Aziendale volto a fornire elementi per la valutazione della coerenza dell’operazione per il raggiungimento delle finalità dell’intervento.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CR08</w:t>
            </w:r>
            <w:r>
              <w:rPr>
                <w:rFonts w:eastAsia="Times New Roman" w:cs="Times New Roman"/>
              </w:rPr>
              <w:t xml:space="preserve"> – Al fine di evitare eccessivi oneri amministrativi per la gestione dei procedimenti connessi all’erogazione del sostegno nonché, se del caso, per garantire un maggior grado di sostenibilità economica degli investimenti non sono eleggibili al sostegno operazioni di investimento per le quali la spesa ammissibile o il contributo pubblico siano al di sotto di un importo minimo. L’elenco delle Regioni e Province Autonome che adottano il presente criterio e la qualificazione e quantificazione delle rispettive soglie è riportato di seguito:</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3"/>
              <w:gridCol w:w="464"/>
              <w:gridCol w:w="463"/>
              <w:gridCol w:w="464"/>
              <w:gridCol w:w="463"/>
              <w:gridCol w:w="464"/>
              <w:gridCol w:w="461"/>
              <w:gridCol w:w="475"/>
              <w:gridCol w:w="451"/>
              <w:gridCol w:w="475"/>
              <w:gridCol w:w="452"/>
              <w:gridCol w:w="426"/>
              <w:gridCol w:w="677"/>
              <w:gridCol w:w="395"/>
              <w:gridCol w:w="374"/>
              <w:gridCol w:w="453"/>
              <w:gridCol w:w="474"/>
              <w:gridCol w:w="456"/>
              <w:gridCol w:w="470"/>
              <w:gridCol w:w="466"/>
              <w:gridCol w:w="460"/>
              <w:gridCol w:w="439"/>
            </w:tblGrid>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2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CR08 Soglie minime per operazione – EUR (.000)</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67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3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3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 ordinaria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 solo per i progetti in transizione di cui alle tipologie 4.1.1 e 4.1.2 del PSR Campania 2014/2022.</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2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67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p>
                  <w:pPr>
                    <w:pStyle w:val="Qlbt-cell-lineql-align-center"/>
                    <w:widowControl/>
                    <w:suppressAutoHyphens w:val="true"/>
                    <w:spacing w:before="0" w:after="0"/>
                    <w:jc w:val="left"/>
                    <w:rPr>
                      <w:highlight w:val="none"/>
                      <w:shd w:fill="76FF03" w:val="clear"/>
                    </w:rPr>
                  </w:pPr>
                  <w:r>
                    <w:rPr>
                      <w:shd w:fill="76FF03" w:val="clear"/>
                    </w:rPr>
                  </w:r>
                </w:p>
              </w:tc>
              <w:tc>
                <w:tcPr>
                  <w:tcW w:w="3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c>
                <w:tcPr>
                  <w:tcW w:w="3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150</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 zone svantagg</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2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9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 zone svantaggiate di montagna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2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39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2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9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12,5</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 soglia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2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7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9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CR09</w:t>
            </w:r>
            <w:r>
              <w:rPr>
                <w:rFonts w:eastAsia="Times New Roman" w:cs="Times New Roman"/>
              </w:rPr>
              <w:t xml:space="preserve"> – Al fine di consentire l’accesso ai benefici del sostegno ad un numero adeguato di beneficiari è possibile stabilire un limite importo massimo di spesa ammissibile a o di contributo pubblico erogabile per ciascun beneficiario. Tale limite può essere stabilito per la durata dell’intero periodo di programmazione oppure per un periodo più breve di quattro anni. Per il calcolo temporale del periodo quadriennale va considerato l’anno in cui è decretata la concessione dell’aiuto e le tre annualità precedenti. L’elenco delle Regioni e Province Autonome che adottano il presente criterio nonché la qualificazione e quantificazione delle rispettive soglie è riportato di seguito: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3"/>
              <w:gridCol w:w="465"/>
              <w:gridCol w:w="463"/>
              <w:gridCol w:w="464"/>
              <w:gridCol w:w="463"/>
              <w:gridCol w:w="463"/>
              <w:gridCol w:w="462"/>
              <w:gridCol w:w="474"/>
              <w:gridCol w:w="452"/>
              <w:gridCol w:w="475"/>
              <w:gridCol w:w="451"/>
              <w:gridCol w:w="474"/>
              <w:gridCol w:w="468"/>
              <w:gridCol w:w="458"/>
              <w:gridCol w:w="472"/>
              <w:gridCol w:w="454"/>
              <w:gridCol w:w="474"/>
              <w:gridCol w:w="455"/>
              <w:gridCol w:w="471"/>
              <w:gridCol w:w="465"/>
              <w:gridCol w:w="461"/>
              <w:gridCol w:w="438"/>
            </w:tblGrid>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2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CR09Limiti massimi per beneficiario (MEURO)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 per periodo di programmazione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0,7</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 in quattro anni</w:t>
                  </w:r>
                  <w:r>
                    <w:rPr>
                      <w:rFonts w:eastAsia="Times New Roman" w:cs="Times New Roman"/>
                      <w:b w:val="false"/>
                      <w:bCs w:val="false"/>
                      <w:i w:val="false"/>
                      <w:iCs w:val="false"/>
                      <w:caps w:val="false"/>
                      <w:smallCaps w:val="false"/>
                      <w:color w:val="000000"/>
                      <w:kern w:val="0"/>
                      <w:sz w:val="30"/>
                      <w:szCs w:val="30"/>
                      <w:vertAlign w:val="superscript"/>
                      <w:lang w:val="en-US" w:eastAsia="en-US" w:bidi="ar-SA"/>
                    </w:rPr>
                    <w:t>1</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0,6</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 per periodo di programmazione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1,8</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0,75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0,45</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 in quattro anni</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 limite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Note</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Per la Regione del Veneto il limite di euro 600.000 è elevato ad euro 1.200.000 nel caso di cooperative agricole di produzione che svolgono attività di coltivazione del terreno e/o allevamento di animali.</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Puglia, il limite indicato in tabella è ridotto ad euro 300.000 nel caso di attuazione combinata con SRE01 (pacchetto giovani).</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Umbria il limite indicato in tabella è elevabile in base al valore Dimensione economica aziendale (DEA) come di seguito indicato:</w:t>
            </w:r>
          </w:p>
          <w:p>
            <w:pPr>
              <w:pStyle w:val="Normal"/>
              <w:numPr>
                <w:ilvl w:val="0"/>
                <w:numId w:val="3"/>
              </w:numPr>
              <w:spacing w:before="40" w:after="40"/>
              <w:ind w:hanging="210" w:left="720"/>
              <w:jc w:val="left"/>
              <w:rPr>
                <w:rFonts w:ascii="Times New Roman" w:hAnsi="Times New Roman" w:eastAsia="Times New Roman" w:cs="Times New Roman"/>
              </w:rPr>
            </w:pPr>
            <w:r>
              <w:rPr>
                <w:rFonts w:eastAsia="Times New Roman" w:cs="Times New Roman"/>
              </w:rPr>
              <w:t>da 1.000.001 a 4.000.000 di DEA il massimale è elevato ad euro 550.000 di contributo per periodo di programmazione;</w:t>
            </w:r>
          </w:p>
          <w:p>
            <w:pPr>
              <w:pStyle w:val="Normal"/>
              <w:numPr>
                <w:ilvl w:val="0"/>
                <w:numId w:val="3"/>
              </w:numPr>
              <w:spacing w:before="40" w:after="40"/>
              <w:ind w:hanging="210" w:left="720"/>
              <w:jc w:val="left"/>
              <w:rPr>
                <w:rFonts w:ascii="Times New Roman" w:hAnsi="Times New Roman" w:eastAsia="Times New Roman" w:cs="Times New Roman"/>
              </w:rPr>
            </w:pPr>
            <w:r>
              <w:rPr>
                <w:rFonts w:eastAsia="Times New Roman" w:cs="Times New Roman"/>
              </w:rPr>
              <w:t>Sopra a 4 milioni di euro di DEA il massimale è elevato a 650.000 di contributo per periodo di programmazione;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CR10</w:t>
            </w:r>
            <w:r>
              <w:rPr>
                <w:rFonts w:eastAsia="Times New Roman" w:cs="Times New Roman"/>
              </w:rPr>
              <w:t xml:space="preserve"> – Per le medesime finalità di cui al CR09 è possibile stabilire un importo massimo di spesa ammissibile o di contributo pubblico erogabile per ciascuna operazione di investimento. L’elenco delle Regioni e Province Autonome che adottano il presente criterio nonché la qualificazione e quantificazione delle rispettive soglie è riportato di seguito: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3"/>
              <w:gridCol w:w="465"/>
              <w:gridCol w:w="463"/>
              <w:gridCol w:w="464"/>
              <w:gridCol w:w="463"/>
              <w:gridCol w:w="463"/>
              <w:gridCol w:w="462"/>
              <w:gridCol w:w="474"/>
              <w:gridCol w:w="452"/>
              <w:gridCol w:w="475"/>
              <w:gridCol w:w="451"/>
              <w:gridCol w:w="474"/>
              <w:gridCol w:w="468"/>
              <w:gridCol w:w="458"/>
              <w:gridCol w:w="472"/>
              <w:gridCol w:w="454"/>
              <w:gridCol w:w="474"/>
              <w:gridCol w:w="455"/>
              <w:gridCol w:w="471"/>
              <w:gridCol w:w="465"/>
              <w:gridCol w:w="461"/>
              <w:gridCol w:w="438"/>
            </w:tblGrid>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2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CR10 Limiti massimi per operazione (MEURO)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Spesa ammissibile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0.750 nel caso di interventi connessi al pacchetto giovani.</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0,250 nel caso di investimenti connessi al pacchetto giovani </w:t>
                  </w:r>
                  <w:r>
                    <w:rPr>
                      <w:rFonts w:eastAsia="Times New Roman" w:cs="Times New Roman"/>
                      <w:b/>
                      <w:bCs/>
                      <w:i w:val="false"/>
                      <w:iCs w:val="false"/>
                      <w:caps w:val="false"/>
                      <w:smallCaps w:val="false"/>
                      <w:color w:val="000000"/>
                      <w:kern w:val="0"/>
                      <w:lang w:val="en-US" w:eastAsia="en-US" w:bidi="ar-SA"/>
                    </w:rPr>
                    <w:t>in trascinamento dalla programmazione 2014-2022.</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0,7</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0,8</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Contributo pubblico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0,9</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0,2</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0,2</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0,35</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 limite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u w:val="single"/>
              </w:rPr>
              <w:t>Note</w:t>
            </w: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Molise il valore dell’investimento non potrà essere superiore dodici (12) volte la PLV aziendale riferita all'anno precedente la presentazione della domanda ed inoltre il contributo pubblico non potrà superare 200.000,00 euro nel caso di imprese singole e 400.000,00 euro nel caso di Organizzazioni Produttori riconosciute, Cooperative (con più di 10 soci) o altre forme collettive (ATI, contratti di rete, ecc. con più di 5 soci agricoltori).</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Con riferimento alla regione Piemonte il contributo pubblico non potrà superare 200.000,00 euro nel caso di concessione del sostegno ad investimenti per imprese singole e 400.000,00 euro nel caso di investimenti collettivi. </w:t>
            </w:r>
            <w:r>
              <w:rPr>
                <w:rFonts w:eastAsia="Times New Roman" w:cs="Times New Roman"/>
                <w:b/>
                <w:bCs/>
                <w:color w:val="2A6099"/>
                <w:shd w:fill="76FF03" w:val="clear"/>
              </w:rPr>
              <w:t>Per trascinamenti PSR 2014-2022: Il sostegno massimo per domanda è pari a 5 volte la Produzione Standard dell’azienda, con un massimo di 130.000 euro (150.000 euro per le Aree C2 e D).</w:t>
            </w:r>
            <w:r>
              <w:rPr>
                <w:rStyle w:val="FootnoteReference"/>
                <w:rFonts w:eastAsia="Times New Roman" w:cs="Times New Roman"/>
                <w:b/>
                <w:bCs/>
                <w:color w:val="2A6099"/>
                <w:shd w:fill="76FF03" w:val="clear"/>
              </w:rPr>
              <w:footnoteReference w:id="4"/>
            </w:r>
          </w:p>
          <w:p>
            <w:pPr>
              <w:pStyle w:val="Normal"/>
              <w:spacing w:before="40" w:after="40"/>
              <w:jc w:val="both"/>
              <w:rPr>
                <w:rFonts w:ascii="Times New Roman" w:hAnsi="Times New Roman" w:eastAsia="Times New Roman" w:cs="Times New Roman"/>
              </w:rPr>
            </w:pPr>
            <w:r>
              <w:rPr>
                <w:rFonts w:eastAsia="Times New Roman" w:cs="Times New Roman"/>
              </w:rPr>
              <w:t>Per la regione Sardegna l’importo di 1.000.000 è elevato a 3.000.000 per le società Cooperative agricole.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CR11</w:t>
            </w:r>
            <w:r>
              <w:rPr>
                <w:rFonts w:eastAsia="Times New Roman" w:cs="Times New Roman"/>
              </w:rPr>
              <w:t xml:space="preserve"> – Qualora il diritto dell'Unione comporti l'imposizione di nuovi requisiti agli agricoltori, può essere concesso un sostegno agli investimenti per soddisfare tali requisiti per un massimo di 24 mesi dalla data in cui diventano obbligatori per l'azienda. Le modalità di applicazione del presente criterio per ciascuna Regione e Provincia Autonoma è di seguito riportata:</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3"/>
              <w:gridCol w:w="465"/>
              <w:gridCol w:w="463"/>
              <w:gridCol w:w="464"/>
              <w:gridCol w:w="463"/>
              <w:gridCol w:w="463"/>
              <w:gridCol w:w="462"/>
              <w:gridCol w:w="474"/>
              <w:gridCol w:w="452"/>
              <w:gridCol w:w="475"/>
              <w:gridCol w:w="451"/>
              <w:gridCol w:w="474"/>
              <w:gridCol w:w="468"/>
              <w:gridCol w:w="458"/>
              <w:gridCol w:w="472"/>
              <w:gridCol w:w="454"/>
              <w:gridCol w:w="474"/>
              <w:gridCol w:w="455"/>
              <w:gridCol w:w="471"/>
              <w:gridCol w:w="465"/>
              <w:gridCol w:w="461"/>
              <w:gridCol w:w="438"/>
            </w:tblGrid>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2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CR11 – Numero di mesi per conformarsi ai requisti</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Numero mesi</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applicazione del criterio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CR12</w:t>
            </w:r>
            <w:r>
              <w:rPr>
                <w:rFonts w:eastAsia="Times New Roman" w:cs="Times New Roman"/>
              </w:rPr>
              <w:t xml:space="preserve"> - Al fine di garantire l’effetto incentivo del contributo pubblico, non sono ammissibili al sostegno le operazioni materialmente completate o pienamente realizzate prima che la domanda di sostegno sia stata presentata all’autorità di gestione dai beneficiari, a prescindere dal fatto che tutti i relativi pagamenti siano stati effettuati. Tuttavia, le autorità di gestione possono stabilire, nei documenti attuativi del presente Piano, termini più restrittivi considerando ammissibili solo le operazioni per le quali il beneficiario ha avviato i lavori o le attività dopo la presentazione di una domanda di sostegno oppure dopo l’approvazione della predetta domanda da parte dell’Autorità di Gestione competente. Fanno eccezione le attività preparatorie che possono essere avviate prima della presentazione della citata domanda o dalla pubblicazione dell’invito a presentare proposte, entro un termine stabilito dalle stesse autorità di gestione non superiore a 24 mesi.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CR13</w:t>
            </w:r>
            <w:r>
              <w:rPr>
                <w:rFonts w:eastAsia="Times New Roman" w:cs="Times New Roman"/>
              </w:rPr>
              <w:t xml:space="preserve"> - Gli investimenti per la produzione di energia sono ammissibili solo se destinati all’autoconsumo aziendale dell’energia prodotta ovvero la capacità della installazione che produce energia non deve eccedere il fabbisogno annuale di consumo aziendale.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CR14</w:t>
            </w:r>
            <w:r>
              <w:rPr>
                <w:rFonts w:eastAsia="Times New Roman" w:cs="Times New Roman"/>
              </w:rPr>
              <w:t xml:space="preserve"> - Per le operazioni di trasformazione e commercializzazione dei prodotti agricoli aziendali, di cui alle alla lettera e) delle finalità del presente intervento, una quota non prevalente dei prodotti da trasformare può essere di provenienza non aziendale. Inoltre, la produzione trasformata e commercializzata deve comunque essere un prodotto agricolo ai sensi dell’allegato I al TFUE (con eventualmente una quota non rilevante di produzione non compresa nel citato Allegato I). I predetti concetti di prevalenza e rilevanza sono declinati da ciascuna Regione e Provincia Autonoma nei documenti di attuazione del presente piano sulla base delle proprie caratteristiche strutturali e territoriali.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u w:val="single" w:color="000000"/>
              </w:rPr>
              <w:t>Criteri di ammissibilità specifici per gli investimenti irrigui.</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CR15 -</w:t>
            </w:r>
            <w:r>
              <w:rPr>
                <w:rFonts w:eastAsia="Times New Roman" w:cs="Times New Roman"/>
                <w:color w:val="000000"/>
              </w:rPr>
              <w:t xml:space="preserve"> Sono ammissibili al sostegno gli investimenti irrigui, adeguatamente dimensionati in ragione di un loro utilizzo nelle aziende beneficiarie, finalizzati alla:</w:t>
            </w:r>
          </w:p>
          <w:p>
            <w:pPr>
              <w:pStyle w:val="Normal"/>
              <w:spacing w:before="40" w:after="40"/>
              <w:jc w:val="both"/>
              <w:rPr>
                <w:rFonts w:ascii="Times New Roman" w:hAnsi="Times New Roman" w:eastAsia="Times New Roman" w:cs="Times New Roman"/>
              </w:rPr>
            </w:pPr>
            <w:r>
              <w:rPr>
                <w:rFonts w:eastAsia="Times New Roman" w:cs="Times New Roman"/>
                <w:color w:val="000000"/>
              </w:rPr>
              <w:t>a) realizzazione nuovi impianti aziendali che possono comportare una estensione delle superfici irrigate. I completamenti funzionali di impianti esistenti non sono considerati nuovi impianti irrigui;</w:t>
            </w:r>
          </w:p>
          <w:p>
            <w:pPr>
              <w:pStyle w:val="Normal"/>
              <w:spacing w:before="40" w:after="40"/>
              <w:jc w:val="both"/>
              <w:rPr>
                <w:rFonts w:ascii="Times New Roman" w:hAnsi="Times New Roman" w:eastAsia="Times New Roman" w:cs="Times New Roman"/>
              </w:rPr>
            </w:pPr>
            <w:r>
              <w:rPr>
                <w:rFonts w:eastAsia="Times New Roman" w:cs="Times New Roman"/>
              </w:rPr>
              <w:t>b) miglioramento, rinnovo e ripristino degli impianti irrigui esistenti che possono comportare un’estensione delle superfici irrigate;</w:t>
            </w:r>
          </w:p>
          <w:p>
            <w:pPr>
              <w:pStyle w:val="Normal"/>
              <w:spacing w:before="40" w:after="40"/>
              <w:jc w:val="both"/>
              <w:rPr>
                <w:rFonts w:ascii="Times New Roman" w:hAnsi="Times New Roman" w:eastAsia="Times New Roman" w:cs="Times New Roman"/>
              </w:rPr>
            </w:pPr>
            <w:r>
              <w:rPr>
                <w:rFonts w:eastAsia="Times New Roman" w:cs="Times New Roman"/>
                <w:color w:val="000000"/>
              </w:rPr>
              <w:t>c) creazione, ampliamento miglioramento, ristrutturazione e manutenzione straordinaria di bacini e altre forme di stoccaggio/conservazione (incluse le opere di adduzione e/o distribuzione di pertinenza esclusivamente aziendale) diversi dai bacini o altre forme di stoccaggio/conservazione alimentati esclusivamente da acque stagionali finalizzate a garantirne la disponibilità in periodi caratterizzati da carenze, incluse quelle per la captazione di acqua piovana.</w:t>
            </w:r>
          </w:p>
          <w:p>
            <w:pPr>
              <w:pStyle w:val="Normal"/>
              <w:spacing w:before="40" w:after="40"/>
              <w:jc w:val="both"/>
              <w:rPr>
                <w:rFonts w:ascii="Times New Roman" w:hAnsi="Times New Roman" w:eastAsia="Times New Roman" w:cs="Times New Roman"/>
              </w:rPr>
            </w:pPr>
            <w:r>
              <w:rPr>
                <w:rFonts w:eastAsia="Times New Roman" w:cs="Times New Roman"/>
                <w:color w:val="000000"/>
                <w:u w:val="single" w:color="000000"/>
              </w:rPr>
              <w:t>Note</w:t>
            </w:r>
            <w:r>
              <w:rPr>
                <w:rFonts w:eastAsia="Times New Roman" w:cs="Times New Roman"/>
                <w:color w:val="000000"/>
              </w:rPr>
              <w:t>:</w:t>
            </w:r>
          </w:p>
          <w:p>
            <w:pPr>
              <w:pStyle w:val="Normal"/>
              <w:spacing w:before="40" w:after="40"/>
              <w:jc w:val="both"/>
              <w:rPr>
                <w:rFonts w:ascii="Times New Roman" w:hAnsi="Times New Roman" w:eastAsia="Times New Roman" w:cs="Times New Roman"/>
              </w:rPr>
            </w:pPr>
            <w:r>
              <w:rPr>
                <w:rFonts w:eastAsia="Times New Roman" w:cs="Times New Roman"/>
                <w:color w:val="000000"/>
              </w:rPr>
              <w:t>Con riferimento alla Regione Toscana, sono esclusi i seguenti investimenti: realizzazione di nuovi pozzi; miglioramento di pozzi esistenti; realizzazione di nuovi sistemi di raccolta/stoccaggio quando alimentati, in tutto o in parte, da acque sotterranee; realizzazione di nuove reti di adduzione/distribuzione/impianti di irrigazione quando alimentati, in tutto o in parte, da acque sotterranee.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CR16</w:t>
            </w:r>
            <w:r>
              <w:rPr>
                <w:rFonts w:eastAsia="Times New Roman" w:cs="Times New Roman"/>
                <w:color w:val="000000"/>
              </w:rPr>
              <w:t xml:space="preserve"> – Gli investimenti di cui alla lettera a), </w:t>
            </w:r>
            <w:r>
              <w:rPr>
                <w:rFonts w:eastAsia="Times New Roman" w:cs="Times New Roman"/>
              </w:rPr>
              <w:t xml:space="preserve">b) e c) (nel caso di incremento della superficie irrigata) </w:t>
            </w:r>
            <w:r>
              <w:rPr>
                <w:rFonts w:eastAsia="Times New Roman" w:cs="Times New Roman"/>
                <w:color w:val="000000"/>
              </w:rPr>
              <w:t>del precedente CR15 sono ammissibili solo se lo stato dei corpi idrici su cui insistono gli investimenti stessi non è stato ritenuto meno di buono nei pertinenti piani di gestione dei bacini idrografici per motivi inerenti alla quantità d’acqua.</w:t>
            </w:r>
          </w:p>
          <w:p>
            <w:pPr>
              <w:pStyle w:val="Normal"/>
              <w:spacing w:before="40" w:after="40"/>
              <w:jc w:val="both"/>
              <w:rPr>
                <w:rFonts w:ascii="Times New Roman" w:hAnsi="Times New Roman" w:eastAsia="Times New Roman" w:cs="Times New Roman"/>
              </w:rPr>
            </w:pPr>
            <w:r>
              <w:rPr>
                <w:rFonts w:eastAsia="Times New Roman" w:cs="Times New Roman"/>
                <w:color w:val="000000"/>
              </w:rPr>
              <w:t>P</w:t>
            </w:r>
            <w:r>
              <w:rPr>
                <w:rFonts w:eastAsia="Times New Roman" w:cs="Times New Roman"/>
              </w:rPr>
              <w:t>er la Regione Umbria - Per i corpi idrici superficiali, la condizione relativa allo “stato non buono per motivi inerenti la quantità di acqua” è derivata dal contemporaneo verificarsi delle condizioni di “stato ecologico non buono o sconosciuto” e “presenza di pressioni significative relative a prelievi”. Per i corpi idrici sotterranei si fa riferimento allo stato quantitativo.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CR17 </w:t>
            </w:r>
            <w:r>
              <w:rPr>
                <w:rFonts w:eastAsia="Times New Roman" w:cs="Times New Roman"/>
                <w:color w:val="000000"/>
              </w:rPr>
              <w:t xml:space="preserve">– Gli investimenti di cui alla lettera a), </w:t>
            </w:r>
            <w:r>
              <w:rPr>
                <w:rFonts w:eastAsia="Times New Roman" w:cs="Times New Roman"/>
              </w:rPr>
              <w:t xml:space="preserve">b) e c) (nel caso di incremento della superficie irrigata) </w:t>
            </w:r>
            <w:r>
              <w:rPr>
                <w:rFonts w:eastAsia="Times New Roman" w:cs="Times New Roman"/>
                <w:color w:val="000000"/>
              </w:rPr>
              <w:t>del precedente CR15 sono ammissibili a condizione che un’analisi di impatto ambientale mostri che gli investimenti stessi non avranno un impatto negativo significativo sull’ambiente; tale analisi di impatto ambientale è effettuata o approvata dall’Autorità competente e può anche riferirsi a gruppi di aziende.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CR18 </w:t>
            </w:r>
            <w:r>
              <w:rPr>
                <w:rFonts w:eastAsia="Times New Roman" w:cs="Times New Roman"/>
                <w:color w:val="000000"/>
              </w:rPr>
              <w:t>- Gli investimenti sono ammissibili solo nei bacini idrografici per le quali sia stato inviato alla Commissione europea il Piano di gestione dello stesso, ai sensi della direttiva 2000/60/CE.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CR19 - </w:t>
            </w:r>
            <w:r>
              <w:rPr>
                <w:rFonts w:eastAsia="Times New Roman" w:cs="Times New Roman"/>
                <w:color w:val="000000"/>
              </w:rPr>
              <w:t>Il predetto Piano di gestione deve comprendere l’intera area in cui sono previsti gli investimenti, nonché eventuali altre aree in cui l’ambiente può essere influenzato dagli investimenti stessi.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CR20 - </w:t>
            </w:r>
            <w:r>
              <w:rPr>
                <w:rFonts w:eastAsia="Times New Roman" w:cs="Times New Roman"/>
                <w:color w:val="000000"/>
              </w:rPr>
              <w:t>Le misure che prendono effetto in virtù dei predetti piani di gestione (conformemente all’articolo 11 della predetta direttiva) e che sono pertinenti per il settore agricolo devono essere precedentemente specificate nel relativo programma di misure.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CR21 - </w:t>
            </w:r>
            <w:r>
              <w:rPr>
                <w:rFonts w:eastAsia="Times New Roman" w:cs="Times New Roman"/>
                <w:color w:val="000000"/>
              </w:rPr>
              <w:t>Sono ammissibili solo investimenti per i quali siano presenti contatori intesi a misurare il consumo di acqua relativo agli stessi investimenti oggetto del sostegno. In alternativa, è possibile installare i contatori atti a tale scopo nell’ambito degli stessi investimenti oggetto del sostegno.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CR22 -</w:t>
            </w:r>
            <w:r>
              <w:rPr>
                <w:rFonts w:eastAsia="Times New Roman" w:cs="Times New Roman"/>
                <w:color w:val="000000"/>
              </w:rPr>
              <w:t xml:space="preserve"> Gli investimenti per la creazione o l’ampliamento di bacini a fini di irrigazione, di cui al CR15, lettera c), sono ammissibili unicamente purché ciò non comporti un impatto negativo significativo sull’ambiente, secondo quanto stabilito dall’Autorità competente.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shd w:fill="FAFAFA" w:val="clear"/>
              </w:rPr>
              <w:t>CR23</w:t>
            </w:r>
            <w:r>
              <w:rPr>
                <w:rFonts w:eastAsia="Times New Roman" w:cs="Times New Roman"/>
                <w:color w:val="000000"/>
                <w:shd w:fill="FAFAFA" w:val="clear"/>
              </w:rPr>
              <w:t xml:space="preserve"> - Gli investimenti in impianti esistenti inclusi al precedente CR15, lettere b) e c), devono offrire, sulla base di una valutazione ex-ante, un risparmio idrico potenziale minimo secondo i parametri tecnici dell’impianto esistente, nonché un risparmio effettivo minimo laddove gli stessi riguardino corpi idrici superficiali e sotterranei ritenuti in condizioni non buone nel pertinente piano di gestione del bacino idrografico per motivi inerenti alla quantità d’acqua. Al riguardo, ai fini del presene intervento, si applicano le percentuali già stabilite per gli analoghi investimenti irrigui di cui all'intervento SRD02</w:t>
            </w:r>
            <w:r>
              <w:rPr>
                <w:rFonts w:eastAsia="Times New Roman" w:cs="Times New Roman"/>
                <w:color w:val="333333"/>
                <w:shd w:fill="FAFAFA" w:val="clear"/>
              </w:rPr>
              <w:t>.</w:t>
            </w:r>
          </w:p>
          <w:p>
            <w:pPr>
              <w:pStyle w:val="Normal"/>
              <w:spacing w:before="40" w:after="40"/>
              <w:jc w:val="both"/>
              <w:rPr>
                <w:rFonts w:ascii="Times New Roman" w:hAnsi="Times New Roman" w:eastAsia="Times New Roman" w:cs="Times New Roman"/>
              </w:rPr>
            </w:pPr>
            <w:r>
              <w:rPr>
                <w:rFonts w:ascii="Courier New" w:hAnsi="Courier New" w:eastAsia="Courier New" w:cs="Courier New"/>
                <w:color w:val="000000"/>
              </w:rPr>
              <w:t>﻿</w:t>
            </w:r>
            <w:r>
              <w:rPr>
                <w:rFonts w:eastAsia="Times New Roman" w:cs="Times New Roman"/>
                <w:color w:val="000000"/>
              </w:rPr>
              <w:t>Per la Regione Emilia-Romagna, che non prevede l’attivazione della SRD02, valgono le seguenti specificità in merito alle percentuali di risparmio potenziale</w:t>
            </w:r>
          </w:p>
          <w:p>
            <w:pPr>
              <w:pStyle w:val="Normal"/>
              <w:spacing w:before="40" w:after="40"/>
              <w:jc w:val="both"/>
              <w:rPr>
                <w:rFonts w:ascii="Times New Roman" w:hAnsi="Times New Roman" w:eastAsia="Times New Roman" w:cs="Times New Roman"/>
              </w:rPr>
            </w:pPr>
            <w:r>
              <w:rPr>
                <w:rFonts w:eastAsia="Times New Roman" w:cs="Times New Roman"/>
                <w:color w:val="000000"/>
              </w:rPr>
              <w:t>e di risparmio effettivo: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rPr>
              <w:t>Il nuovo impianto irriguo dovrà consentire un risparmio idrico potenziale calcolabile in base al livello di efficienza idrica dell'impianto esistente, pari almeno:</w:t>
            </w:r>
          </w:p>
          <w:p>
            <w:pPr>
              <w:pStyle w:val="Normal"/>
              <w:spacing w:before="40" w:after="40"/>
              <w:jc w:val="both"/>
              <w:rPr>
                <w:rFonts w:ascii="Times New Roman" w:hAnsi="Times New Roman" w:eastAsia="Times New Roman" w:cs="Times New Roman"/>
              </w:rPr>
            </w:pPr>
            <w:r>
              <w:rPr>
                <w:rFonts w:eastAsia="Times New Roman" w:cs="Times New Roman"/>
                <w:color w:val="000000"/>
              </w:rPr>
              <w:t>al 25 % per passaggio da un impianto di categoria "bassa efficienza" (B) ad uno delle categorie superiori;</w:t>
            </w:r>
          </w:p>
          <w:p>
            <w:pPr>
              <w:pStyle w:val="Normal"/>
              <w:spacing w:before="40" w:after="40"/>
              <w:jc w:val="both"/>
              <w:rPr>
                <w:rFonts w:ascii="Times New Roman" w:hAnsi="Times New Roman" w:eastAsia="Times New Roman" w:cs="Times New Roman"/>
              </w:rPr>
            </w:pPr>
            <w:r>
              <w:rPr>
                <w:rFonts w:eastAsia="Times New Roman" w:cs="Times New Roman"/>
                <w:color w:val="000000"/>
              </w:rPr>
              <w:t>al 10 % per passaggio tra impianti della medesima categoria "media efficienza" (M);</w:t>
            </w:r>
          </w:p>
          <w:p>
            <w:pPr>
              <w:pStyle w:val="Normal"/>
              <w:spacing w:before="40" w:after="40"/>
              <w:jc w:val="both"/>
              <w:rPr>
                <w:rFonts w:ascii="Times New Roman" w:hAnsi="Times New Roman" w:eastAsia="Times New Roman" w:cs="Times New Roman"/>
              </w:rPr>
            </w:pPr>
            <w:r>
              <w:rPr>
                <w:rFonts w:eastAsia="Times New Roman" w:cs="Times New Roman"/>
                <w:color w:val="000000"/>
              </w:rPr>
              <w:t>al 5% per passaggio da un impianto di categoria "media efficienza" ad uno di categoria "alta efficienza" (A) o tra impianti all'interno di quest'ultima.</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274"/>
              <w:gridCol w:w="1272"/>
              <w:gridCol w:w="1275"/>
              <w:gridCol w:w="1274"/>
              <w:gridCol w:w="1284"/>
              <w:gridCol w:w="1264"/>
              <w:gridCol w:w="1282"/>
              <w:gridCol w:w="1261"/>
            </w:tblGrid>
            <w:tr>
              <w:trPr/>
              <w:tc>
                <w:tcPr>
                  <w:tcW w:w="5095" w:type="dxa"/>
                  <w:gridSpan w:val="4"/>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Efficienza impianti inserimento delle due seguenti tabelle</w:t>
                  </w:r>
                </w:p>
              </w:tc>
              <w:tc>
                <w:tcPr>
                  <w:tcW w:w="254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543"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Cod.</w:t>
                  </w:r>
                </w:p>
              </w:tc>
              <w:tc>
                <w:tcPr>
                  <w:tcW w:w="1275"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Tecniche irrigue</w:t>
                  </w:r>
                </w:p>
              </w:tc>
              <w:tc>
                <w:tcPr>
                  <w:tcW w:w="2558" w:type="dxa"/>
                  <w:gridSpan w:val="2"/>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Efficienza %</w:t>
                  </w:r>
                </w:p>
              </w:tc>
              <w:tc>
                <w:tcPr>
                  <w:tcW w:w="2546" w:type="dxa"/>
                  <w:gridSpan w:val="2"/>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Classe di efficienza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Scorrimento e sommersione con alimentazione per gravità</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Scorrimento e sommersione con alimentazione per sollevamento meccanico</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Infiltrazione laterale a solchi</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Manichetta forata di alta portata</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Tubazioni mobili o fisse con irrigatori ad alta pressione (&gt; 3,5 atmosfere)</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Rotolone con irrigatore a cannone o barra nebulizzatrice, senza centralina elettronica di controllo della velocità e della pluviometria</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Pivot o Rainger con irrigatore, senza sistema di controllo dei volumi e della velocità di avanzamento</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55</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Tubazioni mobili o fisse con irrigatori a bassa pressione (</w:t>
                  </w:r>
                  <w:r>
                    <w:rPr>
                      <w:rFonts w:eastAsia="Times New Roman" w:cs="Times New Roman"/>
                      <w:b w:val="false"/>
                      <w:bCs w:val="false"/>
                      <w:i w:val="false"/>
                      <w:iCs w:val="false"/>
                      <w:caps w:val="false"/>
                      <w:smallCaps w:val="false"/>
                      <w:color w:val="000000"/>
                      <w:kern w:val="0"/>
                      <w:u w:val="single" w:color="000000"/>
                      <w:lang w:val="en-US" w:eastAsia="en-US" w:bidi="ar-SA"/>
                    </w:rPr>
                    <w:t>&lt;</w:t>
                  </w:r>
                  <w:r>
                    <w:rPr>
                      <w:rFonts w:eastAsia="Times New Roman" w:cs="Times New Roman"/>
                      <w:b w:val="false"/>
                      <w:bCs w:val="false"/>
                      <w:i w:val="false"/>
                      <w:iCs w:val="false"/>
                      <w:caps w:val="false"/>
                      <w:smallCaps w:val="false"/>
                      <w:color w:val="000000"/>
                      <w:kern w:val="0"/>
                      <w:lang w:val="en-US" w:eastAsia="en-US" w:bidi="ar-SA"/>
                    </w:rPr>
                    <w:t> 3,5 atmosfere)</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Rotolone con irrigatore cannone dotato di manometro sulla macchina e sull’irrigatore, centralina elettronica di controllo della velocità e della pluviometria</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10</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Impianti microirrigui con erogatori con coefficiente di variazione di portata &gt; al 5% per impianti a goccia e &gt; 10% per impianti a spruzzo, o di età &gt; a 10 anni</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Pivot o Rainger attrezzati con calata per avvicinare l’erogatore alla coltura, senza sistema di controllo dei volumi e della velocità di avanzamento</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65</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12</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Spruzzatori sovrachioma con erogatori aventi coefficiente di variazione della portata </w:t>
                  </w:r>
                  <w:r>
                    <w:rPr>
                      <w:rFonts w:eastAsia="Times New Roman" w:cs="Times New Roman"/>
                      <w:b/>
                      <w:bCs/>
                      <w:i w:val="false"/>
                      <w:iCs w:val="false"/>
                      <w:caps w:val="false"/>
                      <w:smallCaps w:val="false"/>
                      <w:color w:val="000000"/>
                      <w:kern w:val="0"/>
                      <w:u w:val="single" w:color="000000"/>
                      <w:lang w:val="en-US" w:eastAsia="en-US" w:bidi="ar-SA"/>
                    </w:rPr>
                    <w:t xml:space="preserve">&lt; </w:t>
                  </w:r>
                  <w:r>
                    <w:rPr>
                      <w:rFonts w:eastAsia="Times New Roman" w:cs="Times New Roman"/>
                      <w:b/>
                      <w:bCs/>
                      <w:i w:val="false"/>
                      <w:iCs w:val="false"/>
                      <w:caps w:val="false"/>
                      <w:smallCaps w:val="false"/>
                      <w:color w:val="000000"/>
                      <w:kern w:val="0"/>
                      <w:lang w:val="en-US" w:eastAsia="en-US" w:bidi="ar-SA"/>
                    </w:rPr>
                    <w:t>10%</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13</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Spruzzatori sottochioma con erogatori aventi coefficiente di variazione della portata </w:t>
                  </w:r>
                  <w:r>
                    <w:rPr>
                      <w:rFonts w:eastAsia="Times New Roman" w:cs="Times New Roman"/>
                      <w:b/>
                      <w:bCs/>
                      <w:i w:val="false"/>
                      <w:iCs w:val="false"/>
                      <w:caps w:val="false"/>
                      <w:smallCaps w:val="false"/>
                      <w:color w:val="000000"/>
                      <w:kern w:val="0"/>
                      <w:u w:val="single" w:color="000000"/>
                      <w:lang w:val="en-US" w:eastAsia="en-US" w:bidi="ar-SA"/>
                    </w:rPr>
                    <w:t>&lt;</w:t>
                  </w:r>
                  <w:r>
                    <w:rPr>
                      <w:rFonts w:eastAsia="Times New Roman" w:cs="Times New Roman"/>
                      <w:b/>
                      <w:bCs/>
                      <w:i w:val="false"/>
                      <w:iCs w:val="false"/>
                      <w:caps w:val="false"/>
                      <w:smallCaps w:val="false"/>
                      <w:color w:val="000000"/>
                      <w:kern w:val="0"/>
                      <w:lang w:val="en-US" w:eastAsia="en-US" w:bidi="ar-SA"/>
                    </w:rPr>
                    <w:t> 10%</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Pivot o Rainger con irrigatori attrezzati sia con irrigatore sopra o sotto trave,</w:t>
                  </w:r>
                  <w:r>
                    <w:rPr>
                      <w:rFonts w:eastAsia="Times New Roman" w:cs="Times New Roman"/>
                      <w:b/>
                      <w:bCs/>
                      <w:i/>
                      <w:iCs/>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funzionanti con pressioni &lt; a 3 bar, dotati di sistema di controllo dei volumi e della velocità di avanzamento</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15</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Rotolone con barra nebulizzatrice a bassa pressione (&lt;3,5 atmosfere) dotato di manometro sulla macchina e sull’irrigatore, centralina elettronica di controllo della velocità e della pluviometria</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16</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Pivot o Rainger attrezzati con calata per avvicinare l’erogatore alla coltura, funzionanti con pressioni &lt; a 3 bar, dotati di sistema di controllo dei volumi e della velocità di avanzamento</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17</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Irrigazione a goccia con erogatori aventi coefficiente di variazione della portata </w:t>
                  </w:r>
                  <w:r>
                    <w:rPr>
                      <w:rFonts w:eastAsia="Times New Roman" w:cs="Times New Roman"/>
                      <w:b/>
                      <w:bCs/>
                      <w:i w:val="false"/>
                      <w:iCs w:val="false"/>
                      <w:caps w:val="false"/>
                      <w:smallCaps w:val="false"/>
                      <w:color w:val="000000"/>
                      <w:kern w:val="0"/>
                      <w:u w:val="single" w:color="000000"/>
                      <w:lang w:val="en-US" w:eastAsia="en-US" w:bidi="ar-SA"/>
                    </w:rPr>
                    <w:t xml:space="preserve">&lt; </w:t>
                  </w:r>
                  <w:r>
                    <w:rPr>
                      <w:rFonts w:eastAsia="Times New Roman" w:cs="Times New Roman"/>
                      <w:b/>
                      <w:bCs/>
                      <w:i w:val="false"/>
                      <w:iCs w:val="false"/>
                      <w:caps w:val="false"/>
                      <w:smallCaps w:val="false"/>
                      <w:color w:val="000000"/>
                      <w:kern w:val="0"/>
                      <w:lang w:val="en-US" w:eastAsia="en-US" w:bidi="ar-SA"/>
                    </w:rPr>
                    <w:t>5%</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18</w:t>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Ala gocciolante con erogatori aventi coefficiente di variazione della portata </w:t>
                  </w:r>
                  <w:r>
                    <w:rPr>
                      <w:rFonts w:eastAsia="Times New Roman" w:cs="Times New Roman"/>
                      <w:b/>
                      <w:bCs/>
                      <w:i w:val="false"/>
                      <w:iCs w:val="false"/>
                      <w:caps w:val="false"/>
                      <w:smallCaps w:val="false"/>
                      <w:color w:val="000000"/>
                      <w:kern w:val="0"/>
                      <w:u w:val="single" w:color="000000"/>
                      <w:lang w:val="en-US" w:eastAsia="en-US" w:bidi="ar-SA"/>
                    </w:rPr>
                    <w:t>&lt;</w:t>
                  </w:r>
                  <w:r>
                    <w:rPr>
                      <w:rFonts w:eastAsia="Times New Roman" w:cs="Times New Roman"/>
                      <w:b/>
                      <w:bCs/>
                      <w:i w:val="false"/>
                      <w:iCs w:val="false"/>
                      <w:caps w:val="false"/>
                      <w:smallCaps w:val="false"/>
                      <w:color w:val="000000"/>
                      <w:kern w:val="0"/>
                      <w:lang w:val="en-US" w:eastAsia="en-US" w:bidi="ar-SA"/>
                    </w:rPr>
                    <w:t> 5%</w:t>
                  </w:r>
                </w:p>
              </w:tc>
              <w:tc>
                <w:tcPr>
                  <w:tcW w:w="255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90</w:t>
                  </w:r>
                </w:p>
              </w:tc>
              <w:tc>
                <w:tcPr>
                  <w:tcW w:w="2546"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8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26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t>Risparmio idrico potenziale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636"/>
              <w:gridCol w:w="637"/>
              <w:gridCol w:w="635"/>
              <w:gridCol w:w="636"/>
              <w:gridCol w:w="636"/>
              <w:gridCol w:w="644"/>
              <w:gridCol w:w="639"/>
              <w:gridCol w:w="630"/>
              <w:gridCol w:w="647"/>
              <w:gridCol w:w="639"/>
              <w:gridCol w:w="643"/>
              <w:gridCol w:w="640"/>
              <w:gridCol w:w="630"/>
              <w:gridCol w:w="643"/>
              <w:gridCol w:w="638"/>
              <w:gridCol w:w="612"/>
            </w:tblGrid>
            <w:tr>
              <w:trPr/>
              <w:tc>
                <w:tcPr>
                  <w:tcW w:w="636"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7"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Cod. impianto nuovo</w:t>
                  </w:r>
                </w:p>
              </w:tc>
              <w:tc>
                <w:tcPr>
                  <w:tcW w:w="635"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5</w:t>
                  </w:r>
                </w:p>
              </w:tc>
              <w:tc>
                <w:tcPr>
                  <w:tcW w:w="636"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6</w:t>
                  </w:r>
                </w:p>
              </w:tc>
              <w:tc>
                <w:tcPr>
                  <w:tcW w:w="636"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7</w:t>
                  </w:r>
                </w:p>
              </w:tc>
              <w:tc>
                <w:tcPr>
                  <w:tcW w:w="644"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9</w:t>
                  </w:r>
                </w:p>
              </w:tc>
              <w:tc>
                <w:tcPr>
                  <w:tcW w:w="630"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10</w:t>
                  </w:r>
                </w:p>
              </w:tc>
              <w:tc>
                <w:tcPr>
                  <w:tcW w:w="647"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11</w:t>
                  </w:r>
                </w:p>
              </w:tc>
              <w:tc>
                <w:tcPr>
                  <w:tcW w:w="639"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12</w:t>
                  </w:r>
                </w:p>
              </w:tc>
              <w:tc>
                <w:tcPr>
                  <w:tcW w:w="643"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13</w:t>
                  </w:r>
                </w:p>
              </w:tc>
              <w:tc>
                <w:tcPr>
                  <w:tcW w:w="640"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14</w:t>
                  </w:r>
                </w:p>
              </w:tc>
              <w:tc>
                <w:tcPr>
                  <w:tcW w:w="630"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15</w:t>
                  </w:r>
                </w:p>
              </w:tc>
              <w:tc>
                <w:tcPr>
                  <w:tcW w:w="643"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16</w:t>
                  </w:r>
                </w:p>
              </w:tc>
              <w:tc>
                <w:tcPr>
                  <w:tcW w:w="638"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17</w:t>
                  </w:r>
                </w:p>
              </w:tc>
              <w:tc>
                <w:tcPr>
                  <w:tcW w:w="612"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18</w:t>
                  </w:r>
                </w:p>
              </w:tc>
            </w:tr>
            <w:tr>
              <w:trPr/>
              <w:tc>
                <w:tcPr>
                  <w:tcW w:w="636"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Cod. impianto di partenza</w:t>
                  </w:r>
                </w:p>
              </w:tc>
              <w:tc>
                <w:tcPr>
                  <w:tcW w:w="637"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indice efficienza irrigua % impianto</w:t>
                  </w:r>
                </w:p>
              </w:tc>
              <w:tc>
                <w:tcPr>
                  <w:tcW w:w="635"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40</w:t>
                  </w:r>
                </w:p>
              </w:tc>
              <w:tc>
                <w:tcPr>
                  <w:tcW w:w="636"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50</w:t>
                  </w:r>
                </w:p>
              </w:tc>
              <w:tc>
                <w:tcPr>
                  <w:tcW w:w="636"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55</w:t>
                  </w:r>
                </w:p>
              </w:tc>
              <w:tc>
                <w:tcPr>
                  <w:tcW w:w="644"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60</w:t>
                  </w:r>
                </w:p>
              </w:tc>
              <w:tc>
                <w:tcPr>
                  <w:tcW w:w="639"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60</w:t>
                  </w:r>
                </w:p>
              </w:tc>
              <w:tc>
                <w:tcPr>
                  <w:tcW w:w="630"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60</w:t>
                  </w:r>
                </w:p>
              </w:tc>
              <w:tc>
                <w:tcPr>
                  <w:tcW w:w="647"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65</w:t>
                  </w:r>
                </w:p>
              </w:tc>
              <w:tc>
                <w:tcPr>
                  <w:tcW w:w="639"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70</w:t>
                  </w:r>
                </w:p>
              </w:tc>
              <w:tc>
                <w:tcPr>
                  <w:tcW w:w="643"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80</w:t>
                  </w:r>
                </w:p>
              </w:tc>
              <w:tc>
                <w:tcPr>
                  <w:tcW w:w="640"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85</w:t>
                  </w:r>
                </w:p>
              </w:tc>
              <w:tc>
                <w:tcPr>
                  <w:tcW w:w="630"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85</w:t>
                  </w:r>
                </w:p>
              </w:tc>
              <w:tc>
                <w:tcPr>
                  <w:tcW w:w="643"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90</w:t>
                  </w:r>
                </w:p>
              </w:tc>
              <w:tc>
                <w:tcPr>
                  <w:tcW w:w="638"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90</w:t>
                  </w:r>
                </w:p>
              </w:tc>
              <w:tc>
                <w:tcPr>
                  <w:tcW w:w="612" w:type="dxa"/>
                  <w:tcBorders>
                    <w:top w:val="outset" w:sz="6" w:space="0" w:color="808080"/>
                    <w:left w:val="outset" w:sz="6" w:space="0" w:color="808080"/>
                    <w:bottom w:val="outset" w:sz="6" w:space="0" w:color="808080"/>
                    <w:right w:val="outset" w:sz="6" w:space="0" w:color="808080"/>
                  </w:tcBorders>
                  <w:shd w:color="auto" w:fill="C0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90</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1</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10</w:t>
                  </w:r>
                </w:p>
              </w:tc>
              <w:tc>
                <w:tcPr>
                  <w:tcW w:w="635"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75%</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80%</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82%</w:t>
                  </w:r>
                </w:p>
              </w:tc>
              <w:tc>
                <w:tcPr>
                  <w:tcW w:w="644"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39"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30"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86%</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2</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10</w:t>
                  </w:r>
                </w:p>
              </w:tc>
              <w:tc>
                <w:tcPr>
                  <w:tcW w:w="635"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75%</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80%</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82%</w:t>
                  </w:r>
                </w:p>
              </w:tc>
              <w:tc>
                <w:tcPr>
                  <w:tcW w:w="644"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39"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30"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86%</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3</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10</w:t>
                  </w:r>
                </w:p>
              </w:tc>
              <w:tc>
                <w:tcPr>
                  <w:tcW w:w="635"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75%</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80%</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82%</w:t>
                  </w:r>
                </w:p>
              </w:tc>
              <w:tc>
                <w:tcPr>
                  <w:tcW w:w="644"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39"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30"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83%</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86%</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88%</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4</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0000"/>
                      <w:kern w:val="0"/>
                      <w:lang w:val="en-US" w:eastAsia="en-US" w:bidi="ar-SA"/>
                    </w:rPr>
                    <w:t>20</w:t>
                  </w:r>
                </w:p>
              </w:tc>
              <w:tc>
                <w:tcPr>
                  <w:tcW w:w="635"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50%</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64%</w:t>
                  </w:r>
                </w:p>
              </w:tc>
              <w:tc>
                <w:tcPr>
                  <w:tcW w:w="644"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67%</w:t>
                  </w:r>
                </w:p>
              </w:tc>
              <w:tc>
                <w:tcPr>
                  <w:tcW w:w="639"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67%</w:t>
                  </w:r>
                </w:p>
              </w:tc>
              <w:tc>
                <w:tcPr>
                  <w:tcW w:w="630"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67%</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69%</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71%</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75%</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76%</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76%</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78%</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78%</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78%</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20%</w:t>
                  </w:r>
                </w:p>
              </w:tc>
              <w:tc>
                <w:tcPr>
                  <w:tcW w:w="636"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27%</w:t>
                  </w:r>
                </w:p>
              </w:tc>
              <w:tc>
                <w:tcPr>
                  <w:tcW w:w="644"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39"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30"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38%</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43%</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50%</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53%</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53%</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56%</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56%</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56%</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9%</w:t>
                  </w:r>
                </w:p>
              </w:tc>
              <w:tc>
                <w:tcPr>
                  <w:tcW w:w="644"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17%</w:t>
                  </w:r>
                </w:p>
              </w:tc>
              <w:tc>
                <w:tcPr>
                  <w:tcW w:w="639"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17%</w:t>
                  </w:r>
                </w:p>
              </w:tc>
              <w:tc>
                <w:tcPr>
                  <w:tcW w:w="630"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17%</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23%</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38%</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41%</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41%</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44%</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44%</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44%</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55</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47" w:type="dxa"/>
                  <w:tcBorders>
                    <w:top w:val="outset" w:sz="6" w:space="0" w:color="808080"/>
                    <w:left w:val="outset" w:sz="6" w:space="0" w:color="808080"/>
                    <w:bottom w:val="outset" w:sz="6" w:space="0" w:color="808080"/>
                    <w:right w:val="outset" w:sz="6" w:space="0" w:color="808080"/>
                  </w:tcBorders>
                  <w:shd w:color="auto" w:fill="FFFF99"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15%</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21%</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31%</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35%</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35%</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39%</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39%</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25%</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25%</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10</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FFFFFF"/>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25%</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33%</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65</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19%</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24%</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24%</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28%</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28%</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28%</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12</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70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13%</w:t>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18%</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18%</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13</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80</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30"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14</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85</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15</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FF"/>
                      <w:kern w:val="0"/>
                      <w:lang w:val="en-US" w:eastAsia="en-US" w:bidi="ar-SA"/>
                    </w:rPr>
                    <w:t>85</w:t>
                  </w:r>
                </w:p>
              </w:tc>
              <w:tc>
                <w:tcPr>
                  <w:tcW w:w="635"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shd w:color="auto" w:fill="FF00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38"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12" w:type="dxa"/>
                  <w:tcBorders>
                    <w:top w:val="outset" w:sz="6" w:space="0" w:color="808080"/>
                    <w:left w:val="outset" w:sz="6" w:space="0" w:color="808080"/>
                    <w:bottom w:val="outset" w:sz="6" w:space="0" w:color="808080"/>
                    <w:right w:val="outset" w:sz="6" w:space="0" w:color="808080"/>
                  </w:tcBorders>
                  <w:shd w:color="auto" w:fill="CCFFFF" w:val="clear"/>
                  <w:vAlign w:val="center"/>
                </w:tcPr>
                <w:p>
                  <w:pPr>
                    <w:pStyle w:val="Qlbt-cell-lineql-align-right"/>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In aggiunta, sempre con riferimento alla Regione Emilia Romagna, qualora gli investimenti riguardino corpi idrici superficiali e sotterranei ritenuti</w:t>
            </w:r>
          </w:p>
          <w:p>
            <w:pPr>
              <w:pStyle w:val="Normal"/>
              <w:spacing w:before="40" w:after="40"/>
              <w:jc w:val="both"/>
              <w:rPr>
                <w:rFonts w:ascii="Times New Roman" w:hAnsi="Times New Roman" w:eastAsia="Times New Roman" w:cs="Times New Roman"/>
              </w:rPr>
            </w:pPr>
            <w:r>
              <w:rPr>
                <w:rFonts w:eastAsia="Times New Roman" w:cs="Times New Roman"/>
              </w:rPr>
              <w:t>in condizioni non buone nel pertinente piano di gestione del bacino idrografico (per motivi inerenti alla quantità d’acqua), sia conseguita una</w:t>
            </w:r>
          </w:p>
          <w:p>
            <w:pPr>
              <w:pStyle w:val="Normal"/>
              <w:spacing w:before="40" w:after="40"/>
              <w:jc w:val="both"/>
              <w:rPr>
                <w:rFonts w:ascii="Times New Roman" w:hAnsi="Times New Roman" w:eastAsia="Times New Roman" w:cs="Times New Roman"/>
              </w:rPr>
            </w:pPr>
            <w:r>
              <w:rPr>
                <w:rFonts w:eastAsia="Times New Roman" w:cs="Times New Roman"/>
              </w:rPr>
              <w:t>riduzione effettiva minima del consumo di acqua che contribuisca al conseguimento di un buono stato di tali corpi idrici, come stabilito</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all’articolo 4, paragrafo 1, della direttiva 2000/60/CE. Tale riduzione minima effettiva per la Regione Emilia-Romagna deve essere pari</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al 50% del risparmio idrico potenziale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Con riferimento alla Regione Sardegna gli investimenti in impianti esistenti devono garantire il seguente risparmio idrico potenziale minimo</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in base ai parametri tecnici dell’impianto:</w:t>
            </w:r>
          </w:p>
          <w:p>
            <w:pPr>
              <w:pStyle w:val="Normal"/>
              <w:numPr>
                <w:ilvl w:val="0"/>
                <w:numId w:val="4"/>
              </w:numPr>
              <w:spacing w:before="40" w:after="40"/>
              <w:ind w:hanging="210" w:left="720"/>
              <w:jc w:val="left"/>
              <w:rPr>
                <w:rFonts w:ascii="Times New Roman" w:hAnsi="Times New Roman" w:eastAsia="Times New Roman" w:cs="Times New Roman"/>
              </w:rPr>
            </w:pPr>
            <w:r>
              <w:rPr>
                <w:rFonts w:eastAsia="Times New Roman" w:cs="Times New Roman"/>
              </w:rPr>
              <w:t>miglioramento di impianti di irrigazione localizzati: 10%;</w:t>
            </w:r>
          </w:p>
          <w:p>
            <w:pPr>
              <w:pStyle w:val="Normal"/>
              <w:numPr>
                <w:ilvl w:val="0"/>
                <w:numId w:val="4"/>
              </w:numPr>
              <w:spacing w:before="40" w:after="40"/>
              <w:ind w:hanging="210" w:left="720"/>
              <w:jc w:val="left"/>
              <w:rPr>
                <w:rFonts w:ascii="Times New Roman" w:hAnsi="Times New Roman" w:eastAsia="Times New Roman" w:cs="Times New Roman"/>
              </w:rPr>
            </w:pPr>
            <w:r>
              <w:rPr>
                <w:rFonts w:eastAsia="Times New Roman" w:cs="Times New Roman"/>
              </w:rPr>
              <w:t>sostituzione di un impianto di irrigazione ad aspersione a bassa efficienza con uno ad alta efficienza: 15%;</w:t>
            </w:r>
          </w:p>
          <w:p>
            <w:pPr>
              <w:pStyle w:val="Normal"/>
              <w:numPr>
                <w:ilvl w:val="0"/>
                <w:numId w:val="4"/>
              </w:numPr>
              <w:spacing w:before="40" w:after="40"/>
              <w:ind w:hanging="210" w:left="720"/>
              <w:jc w:val="left"/>
              <w:rPr>
                <w:rFonts w:ascii="Times New Roman" w:hAnsi="Times New Roman" w:eastAsia="Times New Roman" w:cs="Times New Roman"/>
              </w:rPr>
            </w:pPr>
            <w:r>
              <w:rPr>
                <w:rFonts w:eastAsia="Times New Roman" w:cs="Times New Roman"/>
              </w:rPr>
              <w:t>sostituzione di un impianto di irrigazione ad aspersione con uno localizzato: 25%.</w:t>
            </w:r>
          </w:p>
          <w:p>
            <w:pPr>
              <w:pStyle w:val="Normal"/>
              <w:spacing w:before="40" w:after="40"/>
              <w:jc w:val="both"/>
              <w:rPr>
                <w:rFonts w:ascii="Times New Roman" w:hAnsi="Times New Roman" w:eastAsia="Times New Roman" w:cs="Times New Roman"/>
              </w:rPr>
            </w:pPr>
            <w:r>
              <w:rPr>
                <w:rFonts w:eastAsia="Times New Roman" w:cs="Times New Roman"/>
              </w:rPr>
              <w:t>Detti investimenti non sono ammissibili quando ricadono su corpi idrici superficiali e sotterranei ritenuti in condizioni non buone nel PdG-DIS</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per motivi inerenti alla quantità dell’acqua.</w:t>
            </w:r>
          </w:p>
          <w:p>
            <w:pPr>
              <w:pStyle w:val="Normal"/>
              <w:spacing w:before="40" w:after="40"/>
              <w:jc w:val="both"/>
              <w:rPr>
                <w:rFonts w:ascii="Times New Roman" w:hAnsi="Times New Roman" w:eastAsia="Times New Roman" w:cs="Times New Roman"/>
              </w:rPr>
            </w:pPr>
            <w:r>
              <w:rPr>
                <w:rFonts w:eastAsia="Times New Roman" w:cs="Times New Roman"/>
              </w:rPr>
              <w:t>Per la Sicilia che non attiva la SRD02, valgono le seguenti specificità in merito alle percentuali di risparmio idrico:</w:t>
            </w:r>
          </w:p>
          <w:p>
            <w:pPr>
              <w:pStyle w:val="Normal"/>
              <w:spacing w:before="40" w:after="40"/>
              <w:jc w:val="both"/>
              <w:rPr>
                <w:rFonts w:ascii="Times New Roman" w:hAnsi="Times New Roman" w:eastAsia="Times New Roman" w:cs="Times New Roman"/>
              </w:rPr>
            </w:pPr>
            <w:r>
              <w:rPr>
                <w:rFonts w:eastAsia="Times New Roman" w:cs="Times New Roman"/>
              </w:rPr>
              <w:t>I nuovi impianti dovranno garantire un Risparmio Idrico Potenziale (RIP), calcolato sulla base del livello di efficienza idrica dell'impianto</w:t>
            </w:r>
          </w:p>
          <w:p>
            <w:pPr>
              <w:pStyle w:val="Normal"/>
              <w:spacing w:before="40" w:after="40"/>
              <w:jc w:val="both"/>
              <w:rPr>
                <w:rFonts w:ascii="Times New Roman" w:hAnsi="Times New Roman" w:eastAsia="Times New Roman" w:cs="Times New Roman"/>
              </w:rPr>
            </w:pPr>
            <w:r>
              <w:rPr>
                <w:rFonts w:eastAsia="Times New Roman" w:cs="Times New Roman"/>
              </w:rPr>
              <w:t>già esistente, che sia pari almeno :</w:t>
            </w:r>
          </w:p>
          <w:p>
            <w:pPr>
              <w:pStyle w:val="Normal"/>
              <w:spacing w:before="40" w:after="40"/>
              <w:jc w:val="both"/>
              <w:rPr>
                <w:rFonts w:ascii="Times New Roman" w:hAnsi="Times New Roman" w:eastAsia="Times New Roman" w:cs="Times New Roman"/>
              </w:rPr>
            </w:pPr>
            <w:r>
              <w:rPr>
                <w:rFonts w:eastAsia="Times New Roman" w:cs="Times New Roman"/>
              </w:rPr>
              <w:t>·al 25 % per passaggio da un impianto di "bassa efficienza" (B) ad uno delle categorie superiori;</w:t>
            </w:r>
          </w:p>
          <w:p>
            <w:pPr>
              <w:pStyle w:val="Normal"/>
              <w:numPr>
                <w:ilvl w:val="0"/>
                <w:numId w:val="5"/>
              </w:numPr>
              <w:spacing w:before="40" w:after="40"/>
              <w:ind w:hanging="210" w:left="720"/>
              <w:jc w:val="left"/>
              <w:rPr>
                <w:rFonts w:ascii="Times New Roman" w:hAnsi="Times New Roman" w:eastAsia="Times New Roman" w:cs="Times New Roman"/>
              </w:rPr>
            </w:pPr>
            <w:r>
              <w:rPr>
                <w:rFonts w:eastAsia="Times New Roman" w:cs="Times New Roman"/>
              </w:rPr>
              <w:t>al 10 % per passaggio tra impianti della stessa categoria "media efficienza" (M);</w:t>
            </w:r>
          </w:p>
          <w:p>
            <w:pPr>
              <w:pStyle w:val="Normal"/>
              <w:numPr>
                <w:ilvl w:val="0"/>
                <w:numId w:val="5"/>
              </w:numPr>
              <w:spacing w:before="40" w:after="40"/>
              <w:ind w:hanging="210" w:left="720"/>
              <w:jc w:val="left"/>
              <w:rPr>
                <w:rFonts w:ascii="Times New Roman" w:hAnsi="Times New Roman" w:eastAsia="Times New Roman" w:cs="Times New Roman"/>
              </w:rPr>
            </w:pPr>
            <w:r>
              <w:rPr>
                <w:rFonts w:eastAsia="Times New Roman" w:cs="Times New Roman"/>
              </w:rPr>
              <w:t>al 5% per passaggio da un impanto di "media efficienza" ad uno di categoria "alta efficienza" (A), o tra impianti della stessa “alta efficienza”.</w:t>
            </w:r>
          </w:p>
          <w:p>
            <w:pPr>
              <w:pStyle w:val="Normal"/>
              <w:spacing w:before="40" w:after="40"/>
              <w:jc w:val="both"/>
              <w:rPr>
                <w:rFonts w:ascii="Times New Roman" w:hAnsi="Times New Roman" w:eastAsia="Times New Roman" w:cs="Times New Roman"/>
              </w:rPr>
            </w:pPr>
            <w:r>
              <w:rPr>
                <w:rFonts w:eastAsia="Times New Roman" w:cs="Times New Roman"/>
              </w:rPr>
              <w:t xml:space="preserve">Per calcolare l’efficienza degli impianti si utilizzeranno le </w:t>
            </w:r>
            <w:r>
              <w:rPr>
                <w:rFonts w:eastAsia="Times New Roman" w:cs="Times New Roman"/>
                <w:b/>
                <w:bCs/>
              </w:rPr>
              <w:t>due seguenti tabelle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546"/>
              <w:gridCol w:w="2547"/>
              <w:gridCol w:w="2547"/>
              <w:gridCol w:w="2547"/>
            </w:tblGrid>
            <w:tr>
              <w:trPr/>
              <w:tc>
                <w:tcPr>
                  <w:tcW w:w="254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Cod.</w:t>
                  </w:r>
                </w:p>
              </w:tc>
              <w:tc>
                <w:tcPr>
                  <w:tcW w:w="254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Tecniche irrigue</w:t>
                  </w:r>
                </w:p>
              </w:tc>
              <w:tc>
                <w:tcPr>
                  <w:tcW w:w="254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Efficienza %</w:t>
                  </w:r>
                </w:p>
              </w:tc>
              <w:tc>
                <w:tcPr>
                  <w:tcW w:w="254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Classe di efficienza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Scorrimento e sommersione con alimentazione per gravità</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Scorrimento e sommersione con alimentazione per sollevamento meccanico</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Infiltrazione laterale a solchi</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Manichetta forata di alta portata</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Tubazioni mobili o fisse con irrigatori ad alta pressione (&gt; 3,5 atmosfere)</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Rotolone con irrigatore a cannone o barra nebulizzatrice, senza centralina elettronica di controllo della velocità e della pluviometria</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Pivot o Rainger con irrigatore, senza sistema di controllo dei volumi e della velocità di avanzamento</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Tubazioni mobili o fisse con irrigatori a bassa pressione (</w:t>
                  </w:r>
                  <w:r>
                    <w:rPr>
                      <w:rFonts w:eastAsia="Times New Roman" w:cs="Times New Roman"/>
                      <w:b w:val="false"/>
                      <w:bCs w:val="false"/>
                      <w:i w:val="false"/>
                      <w:iCs w:val="false"/>
                      <w:caps w:val="false"/>
                      <w:smallCaps w:val="false"/>
                      <w:color w:val="000000"/>
                      <w:kern w:val="0"/>
                      <w:u w:val="single" w:color="000000"/>
                      <w:lang w:val="en-US" w:eastAsia="en-US" w:bidi="ar-SA"/>
                    </w:rPr>
                    <w:t>&lt;</w:t>
                  </w:r>
                  <w:r>
                    <w:rPr>
                      <w:rFonts w:eastAsia="Times New Roman" w:cs="Times New Roman"/>
                      <w:b w:val="false"/>
                      <w:bCs w:val="false"/>
                      <w:i w:val="false"/>
                      <w:iCs w:val="false"/>
                      <w:caps w:val="false"/>
                      <w:smallCaps w:val="false"/>
                      <w:color w:val="000000"/>
                      <w:kern w:val="0"/>
                      <w:lang w:val="en-US" w:eastAsia="en-US" w:bidi="ar-SA"/>
                    </w:rPr>
                    <w:t> 3,5 atmosfere)</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Rotolone con irrigatore cannone dotato di manometro sulla macchina e sull’irrigatore, centralina elettronica di controllo della velocità e della pluviometria</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Impianti microirrigui con erogatori con coefficiente di variazione di portata &gt; al 5% per impianti a goccia e &gt; 10% per impianti a spruzzo, o di età &gt; a 10 anni</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Pivot o Rainger attrezzati con calata per avvicinare l’erogatore alla coltura, senza sistema di controllo dei volumi e della velocità di avanzamento</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Spruzzatori sovrachioma con erogatori aventi coefficiente di variazione della portata </w:t>
                  </w:r>
                  <w:r>
                    <w:rPr>
                      <w:rFonts w:eastAsia="Times New Roman" w:cs="Times New Roman"/>
                      <w:b w:val="false"/>
                      <w:bCs w:val="false"/>
                      <w:i w:val="false"/>
                      <w:iCs w:val="false"/>
                      <w:caps w:val="false"/>
                      <w:smallCaps w:val="false"/>
                      <w:color w:val="000000"/>
                      <w:kern w:val="0"/>
                      <w:u w:val="single" w:color="000000"/>
                      <w:lang w:val="en-US" w:eastAsia="en-US" w:bidi="ar-SA"/>
                    </w:rPr>
                    <w:t xml:space="preserve">&lt; </w:t>
                  </w:r>
                  <w:r>
                    <w:rPr>
                      <w:rFonts w:eastAsia="Times New Roman" w:cs="Times New Roman"/>
                      <w:b w:val="false"/>
                      <w:bCs w:val="false"/>
                      <w:i w:val="false"/>
                      <w:iCs w:val="false"/>
                      <w:caps w:val="false"/>
                      <w:smallCaps w:val="false"/>
                      <w:color w:val="000000"/>
                      <w:kern w:val="0"/>
                      <w:lang w:val="en-US" w:eastAsia="en-US" w:bidi="ar-SA"/>
                    </w:rPr>
                    <w:t>10%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Spruzzatori sottochioma con erogatori aventi coefficiente di variazione della portata </w:t>
                  </w:r>
                  <w:r>
                    <w:rPr>
                      <w:rFonts w:eastAsia="Times New Roman" w:cs="Times New Roman"/>
                      <w:b w:val="false"/>
                      <w:bCs w:val="false"/>
                      <w:i w:val="false"/>
                      <w:iCs w:val="false"/>
                      <w:caps w:val="false"/>
                      <w:smallCaps w:val="false"/>
                      <w:color w:val="000000"/>
                      <w:kern w:val="0"/>
                      <w:u w:val="single" w:color="000000"/>
                      <w:lang w:val="en-US" w:eastAsia="en-US" w:bidi="ar-SA"/>
                    </w:rPr>
                    <w:t>&lt;</w:t>
                  </w:r>
                  <w:r>
                    <w:rPr>
                      <w:rFonts w:eastAsia="Times New Roman" w:cs="Times New Roman"/>
                      <w:b w:val="false"/>
                      <w:bCs w:val="false"/>
                      <w:i w:val="false"/>
                      <w:iCs w:val="false"/>
                      <w:caps w:val="false"/>
                      <w:smallCaps w:val="false"/>
                      <w:color w:val="000000"/>
                      <w:kern w:val="0"/>
                      <w:lang w:val="en-US" w:eastAsia="en-US" w:bidi="ar-SA"/>
                    </w:rPr>
                    <w:t> 10%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Pivot o Rainger con irrigatori attrezzati sia con irrigatore sopra o sotto trave,</w:t>
                  </w:r>
                  <w:r>
                    <w:rPr>
                      <w:rFonts w:eastAsia="Times New Roman" w:cs="Times New Roman"/>
                      <w:b w:val="false"/>
                      <w:bCs w:val="false"/>
                      <w:i/>
                      <w:iCs/>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funzionanti con pressioni &lt; a 3 bar, dotati di sistema di controllo dei volumi e della velocità di avanzamento</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Rotolone con barra nebulizzatrice a bassa pressione (&lt;3,5 atmosfere) dotato di manometro sulla macchina e sull’irrigatore, centralina elettronica di controllo della velocità e della pluviometria</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Pivot o Rainger attrezzati con calata per avvicinare l’erogatore alla coltura, funzionanti con pressioni &lt; a 3 bar, dotati di sistema di controllo dei volumi e della velocità di avanzamento</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17</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Irrigazione a goccia con erogatori aventi coefficiente di variazione della portata </w:t>
                  </w:r>
                  <w:r>
                    <w:rPr>
                      <w:rFonts w:eastAsia="Times New Roman" w:cs="Times New Roman"/>
                      <w:b w:val="false"/>
                      <w:bCs w:val="false"/>
                      <w:i w:val="false"/>
                      <w:iCs w:val="false"/>
                      <w:caps w:val="false"/>
                      <w:smallCaps w:val="false"/>
                      <w:color w:val="000000"/>
                      <w:kern w:val="0"/>
                      <w:u w:val="single" w:color="000000"/>
                      <w:lang w:val="en-US" w:eastAsia="en-US" w:bidi="ar-SA"/>
                    </w:rPr>
                    <w:t xml:space="preserve">&lt; </w:t>
                  </w:r>
                  <w:r>
                    <w:rPr>
                      <w:rFonts w:eastAsia="Times New Roman" w:cs="Times New Roman"/>
                      <w:b w:val="false"/>
                      <w:bCs w:val="false"/>
                      <w:i w:val="false"/>
                      <w:iCs w:val="false"/>
                      <w:caps w:val="false"/>
                      <w:smallCaps w:val="false"/>
                      <w:color w:val="000000"/>
                      <w:kern w:val="0"/>
                      <w:lang w:val="en-US" w:eastAsia="en-US" w:bidi="ar-SA"/>
                    </w:rPr>
                    <w:t>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r>
              <w:trPr/>
              <w:tc>
                <w:tcPr>
                  <w:tcW w:w="254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18</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Ala gocciolante con erogatori aventi coefficiente di variazione della portata </w:t>
                  </w:r>
                  <w:r>
                    <w:rPr>
                      <w:rFonts w:eastAsia="Times New Roman" w:cs="Times New Roman"/>
                      <w:b w:val="false"/>
                      <w:bCs w:val="false"/>
                      <w:i w:val="false"/>
                      <w:iCs w:val="false"/>
                      <w:caps w:val="false"/>
                      <w:smallCaps w:val="false"/>
                      <w:color w:val="000000"/>
                      <w:kern w:val="0"/>
                      <w:u w:val="single" w:color="000000"/>
                      <w:lang w:val="en-US" w:eastAsia="en-US" w:bidi="ar-SA"/>
                    </w:rPr>
                    <w:t>&lt;</w:t>
                  </w:r>
                  <w:r>
                    <w:rPr>
                      <w:rFonts w:eastAsia="Times New Roman" w:cs="Times New Roman"/>
                      <w:b w:val="false"/>
                      <w:bCs w:val="false"/>
                      <w:i w:val="false"/>
                      <w:iCs w:val="false"/>
                      <w:caps w:val="false"/>
                      <w:smallCaps w:val="false"/>
                      <w:color w:val="000000"/>
                      <w:kern w:val="0"/>
                      <w:lang w:val="en-US" w:eastAsia="en-US" w:bidi="ar-SA"/>
                    </w:rPr>
                    <w:t> 5%</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90</w:t>
                  </w:r>
                </w:p>
              </w:tc>
              <w:tc>
                <w:tcPr>
                  <w:tcW w:w="25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r>
          </w:tbl>
          <w:p>
            <w:pPr>
              <w:pStyle w:val="Normal"/>
              <w:spacing w:before="40" w:after="40"/>
              <w:jc w:val="both"/>
              <w:rPr>
                <w:rFonts w:ascii="Times New Roman" w:hAnsi="Times New Roman" w:eastAsia="Times New Roman" w:cs="Times New Roman"/>
              </w:rPr>
            </w:pPr>
            <w:r>
              <w:rPr>
                <w:rFonts w:eastAsia="Times New Roman" w:cs="Times New Roman"/>
              </w:rPr>
              <w:t>Il risparmio idrico potenziale (RIP) si calcola:</w:t>
            </w:r>
          </w:p>
          <w:p>
            <w:pPr>
              <w:pStyle w:val="Normal"/>
              <w:spacing w:before="40" w:after="40"/>
              <w:jc w:val="both"/>
              <w:rPr>
                <w:rFonts w:ascii="Times New Roman" w:hAnsi="Times New Roman" w:eastAsia="Times New Roman" w:cs="Times New Roman"/>
              </w:rPr>
            </w:pPr>
            <w:r>
              <w:rPr>
                <w:rFonts w:eastAsia="Times New Roman" w:cs="Times New Roman"/>
              </w:rPr>
              <w:t>RIP = [100 - (% efficienza impianto esistente) x100 / (% efficienza impianto nuovo)] / 100</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636"/>
              <w:gridCol w:w="637"/>
              <w:gridCol w:w="635"/>
              <w:gridCol w:w="636"/>
              <w:gridCol w:w="636"/>
              <w:gridCol w:w="644"/>
              <w:gridCol w:w="639"/>
              <w:gridCol w:w="630"/>
              <w:gridCol w:w="647"/>
              <w:gridCol w:w="639"/>
              <w:gridCol w:w="643"/>
              <w:gridCol w:w="640"/>
              <w:gridCol w:w="630"/>
              <w:gridCol w:w="643"/>
              <w:gridCol w:w="638"/>
              <w:gridCol w:w="612"/>
            </w:tblGrid>
            <w:tr>
              <w:trPr/>
              <w:tc>
                <w:tcPr>
                  <w:tcW w:w="63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Cod. impianto nuovo</w:t>
                  </w:r>
                </w:p>
              </w:tc>
              <w:tc>
                <w:tcPr>
                  <w:tcW w:w="635"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w:t>
                  </w:r>
                </w:p>
              </w:tc>
              <w:tc>
                <w:tcPr>
                  <w:tcW w:w="63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w:t>
                  </w:r>
                </w:p>
              </w:tc>
              <w:tc>
                <w:tcPr>
                  <w:tcW w:w="63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w:t>
                  </w:r>
                </w:p>
              </w:tc>
              <w:tc>
                <w:tcPr>
                  <w:tcW w:w="644"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w:t>
                  </w:r>
                </w:p>
              </w:tc>
              <w:tc>
                <w:tcPr>
                  <w:tcW w:w="630"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10</w:t>
                  </w:r>
                </w:p>
              </w:tc>
              <w:tc>
                <w:tcPr>
                  <w:tcW w:w="64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w:t>
                  </w:r>
                </w:p>
              </w:tc>
              <w:tc>
                <w:tcPr>
                  <w:tcW w:w="639"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12</w:t>
                  </w:r>
                </w:p>
              </w:tc>
              <w:tc>
                <w:tcPr>
                  <w:tcW w:w="643"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13</w:t>
                  </w:r>
                </w:p>
              </w:tc>
              <w:tc>
                <w:tcPr>
                  <w:tcW w:w="640"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w:t>
                  </w:r>
                </w:p>
              </w:tc>
              <w:tc>
                <w:tcPr>
                  <w:tcW w:w="630"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15</w:t>
                  </w:r>
                </w:p>
              </w:tc>
              <w:tc>
                <w:tcPr>
                  <w:tcW w:w="643"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16</w:t>
                  </w:r>
                </w:p>
              </w:tc>
              <w:tc>
                <w:tcPr>
                  <w:tcW w:w="638"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17</w:t>
                  </w:r>
                </w:p>
              </w:tc>
              <w:tc>
                <w:tcPr>
                  <w:tcW w:w="612"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18</w:t>
                  </w:r>
                </w:p>
              </w:tc>
            </w:tr>
            <w:tr>
              <w:trPr/>
              <w:tc>
                <w:tcPr>
                  <w:tcW w:w="63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Cod. impianto di partenza</w:t>
                  </w:r>
                </w:p>
              </w:tc>
              <w:tc>
                <w:tcPr>
                  <w:tcW w:w="63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indice efficienza irrigua % impianto</w:t>
                  </w:r>
                </w:p>
              </w:tc>
              <w:tc>
                <w:tcPr>
                  <w:tcW w:w="635"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40</w:t>
                  </w:r>
                </w:p>
              </w:tc>
              <w:tc>
                <w:tcPr>
                  <w:tcW w:w="63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50</w:t>
                  </w:r>
                </w:p>
              </w:tc>
              <w:tc>
                <w:tcPr>
                  <w:tcW w:w="636"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55</w:t>
                  </w:r>
                </w:p>
              </w:tc>
              <w:tc>
                <w:tcPr>
                  <w:tcW w:w="644"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39"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30"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60</w:t>
                  </w:r>
                </w:p>
              </w:tc>
              <w:tc>
                <w:tcPr>
                  <w:tcW w:w="647"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65</w:t>
                  </w:r>
                </w:p>
              </w:tc>
              <w:tc>
                <w:tcPr>
                  <w:tcW w:w="639"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70</w:t>
                  </w:r>
                </w:p>
              </w:tc>
              <w:tc>
                <w:tcPr>
                  <w:tcW w:w="643"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80</w:t>
                  </w:r>
                </w:p>
              </w:tc>
              <w:tc>
                <w:tcPr>
                  <w:tcW w:w="640"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630"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85</w:t>
                  </w:r>
                </w:p>
              </w:tc>
              <w:tc>
                <w:tcPr>
                  <w:tcW w:w="643"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90</w:t>
                  </w:r>
                </w:p>
              </w:tc>
              <w:tc>
                <w:tcPr>
                  <w:tcW w:w="638"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90</w:t>
                  </w:r>
                </w:p>
              </w:tc>
              <w:tc>
                <w:tcPr>
                  <w:tcW w:w="612" w:type="dxa"/>
                  <w:tcBorders>
                    <w:top w:val="outset" w:sz="6" w:space="0" w:color="808080"/>
                    <w:left w:val="outset" w:sz="6" w:space="0" w:color="808080"/>
                    <w:bottom w:val="outset" w:sz="6" w:space="0" w:color="808080"/>
                    <w:right w:val="outset" w:sz="6" w:space="0" w:color="808080"/>
                  </w:tcBorders>
                  <w:shd w:color="auto" w:fill="D0CECE"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90</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82%</w:t>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86%</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82%</w:t>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86%</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82%</w:t>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83%</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86%</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88%</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64%</w:t>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67%</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67%</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67%</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69%</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71%</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76%</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76%</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78%</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78%</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78%</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27%</w:t>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38%</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43%</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53%</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53%</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56%</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56%</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56%</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w:t>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17%</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17%</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17%</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23%</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38%</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41%</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41%</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44%</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44%</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44%</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55</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21%</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31%</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35%</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35%</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39%</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39%</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39%</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9</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w:t>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29%</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19%</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28%</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28%</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28%</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w:t>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18%</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18%</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22%</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22%</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22%</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r>
            <w:tr>
              <w:trPr/>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w:t>
                  </w:r>
                </w:p>
              </w:tc>
              <w:tc>
                <w:tcPr>
                  <w:tcW w:w="63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63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7"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3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c>
                <w:tcPr>
                  <w:tcW w:w="61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w:t>
                  </w:r>
                </w:p>
              </w:tc>
            </w:tr>
          </w:tbl>
          <w:p>
            <w:pPr>
              <w:pStyle w:val="Normal"/>
              <w:spacing w:before="40" w:after="40"/>
              <w:jc w:val="both"/>
              <w:rPr>
                <w:rFonts w:ascii="Times New Roman" w:hAnsi="Times New Roman" w:eastAsia="Times New Roman" w:cs="Times New Roman"/>
              </w:rPr>
            </w:pPr>
            <w:r>
              <w:rPr>
                <w:rFonts w:eastAsia="Times New Roman" w:cs="Times New Roman"/>
              </w:rPr>
              <w:t xml:space="preserve">Qualora gli investimenti riguardino corpi idrici superficiali e sotterranei ritenuti in </w:t>
            </w:r>
            <w:r>
              <w:rPr>
                <w:rFonts w:eastAsia="Times New Roman" w:cs="Times New Roman"/>
                <w:b/>
                <w:bCs/>
              </w:rPr>
              <w:t>condizioni non buone</w:t>
            </w:r>
            <w:r>
              <w:rPr>
                <w:rFonts w:eastAsia="Times New Roman" w:cs="Times New Roman"/>
              </w:rPr>
              <w:t xml:space="preserve"> nel pertinente piano di</w:t>
            </w:r>
          </w:p>
          <w:p>
            <w:pPr>
              <w:pStyle w:val="Normal"/>
              <w:spacing w:before="40" w:after="40"/>
              <w:jc w:val="both"/>
              <w:rPr>
                <w:rFonts w:ascii="Times New Roman" w:hAnsi="Times New Roman" w:eastAsia="Times New Roman" w:cs="Times New Roman"/>
              </w:rPr>
            </w:pPr>
            <w:r>
              <w:rPr>
                <w:rFonts w:eastAsia="Times New Roman" w:cs="Times New Roman"/>
              </w:rPr>
              <w:t>gestione del bacino idrografico (per motivi inerenti alla quantità d’acqua), dovrà essere conseguita una riduzione effettiva minima</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del consumo di acqua che contribuisca all’ottenimento di un buono stato di tali corpi idrici, come stabilito</w:t>
            </w:r>
          </w:p>
          <w:p>
            <w:pPr>
              <w:pStyle w:val="Normal"/>
              <w:spacing w:before="40" w:after="40"/>
              <w:jc w:val="both"/>
              <w:rPr>
                <w:rFonts w:ascii="Times New Roman" w:hAnsi="Times New Roman" w:eastAsia="Times New Roman" w:cs="Times New Roman"/>
              </w:rPr>
            </w:pPr>
            <w:r>
              <w:rPr>
                <w:rFonts w:eastAsia="Times New Roman" w:cs="Times New Roman"/>
              </w:rPr>
              <w:t>all’articolo 4, paragrafo 1, della direttiva 2000/60/CE. La Riduzione dovrà essere pari al 50% del risparmio idrico potenziale.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Impegni inerenti alle operazioni di investimento</w:t>
            </w:r>
          </w:p>
          <w:p>
            <w:pPr>
              <w:pStyle w:val="Normal"/>
              <w:spacing w:before="40" w:after="40"/>
              <w:rPr>
                <w:rFonts w:ascii="Times New Roman" w:hAnsi="Times New Roman" w:eastAsia="Times New Roman" w:cs="Times New Roman"/>
              </w:rPr>
            </w:pPr>
            <w:r>
              <w:rPr>
                <w:rFonts w:eastAsia="Times New Roman" w:cs="Times New Roman"/>
              </w:rPr>
              <w:t>Il beneficiario di un’operazione di investimento si impegna 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IM01</w:t>
            </w:r>
            <w:r>
              <w:rPr>
                <w:rFonts w:eastAsia="Times New Roman" w:cs="Times New Roman"/>
              </w:rPr>
              <w:t xml:space="preserve"> - realizzare l’operazione conformemente a quanto definito con atto di concessione dall’Autorità di Gestione territorialmente competente, fatte salve eventuali varianti e/o deroghe stabilite dalla stessa;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IM02</w:t>
            </w:r>
            <w:r>
              <w:rPr>
                <w:rFonts w:eastAsia="Times New Roman" w:cs="Times New Roman"/>
              </w:rPr>
              <w:t xml:space="preserve"> – assicurare la stabilità dell’operazione di investimento oggetto di sostegno per un periodo minimo di tempo indicato nella successiva tabella ed alle condizioni stabilite dalle Autorità di Gestione regionali nei documenti attuativi del presente Piano.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3"/>
              <w:gridCol w:w="465"/>
              <w:gridCol w:w="463"/>
              <w:gridCol w:w="464"/>
              <w:gridCol w:w="463"/>
              <w:gridCol w:w="463"/>
              <w:gridCol w:w="462"/>
              <w:gridCol w:w="474"/>
              <w:gridCol w:w="452"/>
              <w:gridCol w:w="475"/>
              <w:gridCol w:w="451"/>
              <w:gridCol w:w="474"/>
              <w:gridCol w:w="468"/>
              <w:gridCol w:w="458"/>
              <w:gridCol w:w="472"/>
              <w:gridCol w:w="454"/>
              <w:gridCol w:w="474"/>
              <w:gridCol w:w="455"/>
              <w:gridCol w:w="471"/>
              <w:gridCol w:w="465"/>
              <w:gridCol w:w="461"/>
              <w:gridCol w:w="438"/>
            </w:tblGrid>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22"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IM02 Periodi minimi di stabilità (anni)</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Beni mobili, attrezzature</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r>
            <w:tr>
              <w:trPr/>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Beni immobili, opere edili</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5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46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4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La Regione Lombardia prevede un ulteriore impegno: Rispettare le norme in materia di salute e sicurezza degli ambienti di lavoro. Il mancato rispetto delle norme è documentato da esito negativo trasmesso dalla ATS a seguito dei controlli effettuati.</w:t>
            </w:r>
          </w:p>
          <w:p>
            <w:pPr>
              <w:pStyle w:val="Normal"/>
              <w:spacing w:before="40" w:after="40"/>
              <w:rPr>
                <w:rFonts w:ascii="Times New Roman" w:hAnsi="Times New Roman" w:eastAsia="Times New Roman" w:cs="Times New Roman"/>
              </w:rPr>
            </w:pPr>
            <w:r>
              <w:rPr>
                <w:rFonts w:eastAsia="Times New Roman" w:cs="Times New Roman"/>
                <w:u w:val="single"/>
              </w:rPr>
              <w:t>Altri obblighi</w:t>
            </w:r>
          </w:p>
          <w:p>
            <w:pPr>
              <w:pStyle w:val="Normal"/>
              <w:spacing w:before="40" w:after="40"/>
              <w:jc w:val="both"/>
              <w:rPr>
                <w:rFonts w:ascii="Times New Roman" w:hAnsi="Times New Roman" w:eastAsia="Times New Roman" w:cs="Times New Roman"/>
              </w:rPr>
            </w:pPr>
            <w:r>
              <w:rPr>
                <w:rFonts w:eastAsia="Times New Roman" w:cs="Times New Roman"/>
              </w:rPr>
              <w:t>Al fine di corrispondere agli obblighi di informazione e pubblicità per le operazioni oggetto di sostegno del FEASR, si applica quanto previsto dal Regolamento (UE) n, 2022/129</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Ammissibilità delle spese per le operazioni sostenute attraverso sovvenzioni</w:t>
            </w:r>
          </w:p>
          <w:p>
            <w:pPr>
              <w:pStyle w:val="Normal"/>
              <w:spacing w:before="40" w:after="40"/>
              <w:rPr>
                <w:rFonts w:ascii="Times New Roman" w:hAnsi="Times New Roman" w:eastAsia="Times New Roman" w:cs="Times New Roman"/>
              </w:rPr>
            </w:pPr>
            <w:r>
              <w:rPr>
                <w:rFonts w:eastAsia="Times New Roman" w:cs="Times New Roman"/>
              </w:rPr>
              <w:t>In merito all’ammissibilità delle spese si applica quanto previsto alle Sezioni 4.7.1 e 4.7.3, paragrafo 1, del presente Piano.</w:t>
            </w:r>
          </w:p>
          <w:p>
            <w:pPr>
              <w:pStyle w:val="Normal"/>
              <w:spacing w:before="40" w:after="40"/>
              <w:rPr>
                <w:rFonts w:ascii="Times New Roman" w:hAnsi="Times New Roman" w:eastAsia="Times New Roman" w:cs="Times New Roman"/>
              </w:rPr>
            </w:pPr>
            <w:r>
              <w:rPr>
                <w:rFonts w:eastAsia="Times New Roman" w:cs="Times New Roman"/>
              </w:rPr>
              <w:t>Per la Regione Marche non si applica quanto stabilito alla Sezione 4.7.3, par. 1, punto 1.2) “Principi in merito alla vigenza temporale dell’ammissibilità delle spese”, punto 1) che recita “Sono ammissibili al sostegno: 1.le spese sostenute dai beneficiari dopo la presentazione di una domanda di sostegno oppure dopo l’approvazione della predetta domanda da parte dell’Autorità di Gestione competente” in quanto vengono considerate ammissibili le spese sostenute entro un massimo di 6 mesi prima della presentazione della domanda di sostegno, fermo restando, che ai sensi dell’art. 86 c. 4 del reg. 2115/2021, sono ammissibili le spese sostenute dopo il 1°gennaio 2023 e relative ad operazioni che non siano materialmente completate o pienamente realizzate prima che la domanda di sostegno sia stata presentata all’autorità di gestione e ferme restando le deroghe stabilite al par. 4.7.3, par. 1, punto 1.2).</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Cumulabilità degli aiuti e doppio finanziamento</w:t>
            </w:r>
          </w:p>
          <w:p>
            <w:pPr>
              <w:pStyle w:val="Normal"/>
              <w:spacing w:before="40" w:after="40"/>
              <w:rPr>
                <w:rFonts w:ascii="Times New Roman" w:hAnsi="Times New Roman" w:eastAsia="Times New Roman" w:cs="Times New Roman"/>
              </w:rPr>
            </w:pPr>
            <w:r>
              <w:rPr>
                <w:rFonts w:eastAsia="Times New Roman" w:cs="Times New Roman"/>
              </w:rPr>
              <w:t>In merito alla cumulabilità degli aiuti ed al doppio finanziamento si applica quanto previsto alla Sezione 4.7.3, paragrafo 2, del presente Piano.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u w:val="single"/>
              </w:rPr>
              <w:t>Erogazione di anticipi</w:t>
            </w:r>
          </w:p>
          <w:p>
            <w:pPr>
              <w:pStyle w:val="Normal"/>
              <w:spacing w:before="40" w:after="40"/>
              <w:rPr>
                <w:rFonts w:ascii="Times New Roman" w:hAnsi="Times New Roman" w:eastAsia="Times New Roman" w:cs="Times New Roman"/>
              </w:rPr>
            </w:pPr>
            <w:r>
              <w:rPr>
                <w:rFonts w:eastAsia="Times New Roman" w:cs="Times New Roman"/>
              </w:rPr>
              <w:t xml:space="preserve">È consentito il pagamento di anticipi ai beneficiari da parte degli Organismi pagatori per un importo massimo del 50% del contributo concesso per le singole operazioni </w:t>
            </w:r>
            <w:r>
              <w:rPr>
                <w:rFonts w:eastAsia="Times New Roman" w:cs="Times New Roman"/>
                <w:color w:val="000000"/>
              </w:rPr>
              <w:t>alle condizioni stabilite nella sezione 4.7.3, paragrafo 3, del presente Piano.</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Specificità in materia di ammissibilità delle regioni, per ciascuna regione interessata, se del caso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Con riferimento a quanto successivamente indicato nella sottosezione 7, si riporta di seguito il dettaglio regionale delle forme di sostegno e del tipo di sostegno concedibile per il presente intervento.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Si precisa, che il presente intervento viene attuato esclusivamente attraverso l’erogazione di sovvenzioni in conto capitale e/o in conto interessi. Tuttavia, nell’ambito del Piano sono comunque programmati interventi regionali (Abruzzo, Marche e Friuli-Venezia Giulia) che prevedono l’utilizzo di strumenti finanziari quali forme di sostegno agli investimenti competitivi per le aziende agricole, anche in forma combinata con il presente intervento.</w:t>
            </w:r>
          </w:p>
          <w:p>
            <w:pPr>
              <w:pStyle w:val="Normal"/>
              <w:spacing w:before="40" w:after="40"/>
              <w:jc w:val="both"/>
              <w:rPr>
                <w:rFonts w:ascii="Times New Roman" w:hAnsi="Times New Roman" w:eastAsia="Times New Roman" w:cs="Times New Roman"/>
              </w:rPr>
            </w:pPr>
            <w:r>
              <w:rPr>
                <w:rFonts w:eastAsia="Times New Roman" w:cs="Times New Roman"/>
              </w:rPr>
              <w:t>Altre Regioni (Campania, Emilia-Romagna, Puglia, Sicilia e Toscana) hanno manifestato l’intenzione di attivare un sostegno attraverso strumenti finanziari che sarà introdotto nel corso del periodo di programmazione.</w:t>
            </w:r>
          </w:p>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4"/>
              <w:gridCol w:w="466"/>
              <w:gridCol w:w="464"/>
              <w:gridCol w:w="465"/>
              <w:gridCol w:w="464"/>
              <w:gridCol w:w="464"/>
              <w:gridCol w:w="463"/>
              <w:gridCol w:w="473"/>
              <w:gridCol w:w="455"/>
              <w:gridCol w:w="476"/>
              <w:gridCol w:w="452"/>
              <w:gridCol w:w="475"/>
              <w:gridCol w:w="468"/>
              <w:gridCol w:w="460"/>
              <w:gridCol w:w="472"/>
              <w:gridCol w:w="456"/>
              <w:gridCol w:w="475"/>
              <w:gridCol w:w="458"/>
              <w:gridCol w:w="470"/>
              <w:gridCol w:w="465"/>
              <w:gridCol w:w="463"/>
              <w:gridCol w:w="439"/>
            </w:tblGrid>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43"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Forme del sostegno (dettaglio regionale)</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Sovvenzione in conto capitale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Sovvenzione in conto interessi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4"/>
              <w:gridCol w:w="466"/>
              <w:gridCol w:w="464"/>
              <w:gridCol w:w="465"/>
              <w:gridCol w:w="464"/>
              <w:gridCol w:w="464"/>
              <w:gridCol w:w="463"/>
              <w:gridCol w:w="473"/>
              <w:gridCol w:w="455"/>
              <w:gridCol w:w="476"/>
              <w:gridCol w:w="452"/>
              <w:gridCol w:w="475"/>
              <w:gridCol w:w="468"/>
              <w:gridCol w:w="460"/>
              <w:gridCol w:w="472"/>
              <w:gridCol w:w="456"/>
              <w:gridCol w:w="475"/>
              <w:gridCol w:w="458"/>
              <w:gridCol w:w="470"/>
              <w:gridCol w:w="465"/>
              <w:gridCol w:w="463"/>
              <w:gridCol w:w="439"/>
            </w:tblGrid>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743"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Tipo di sostegno (dettaglio regionale)</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Rimborso di spese effettivamente sostenute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Costi standard</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Tassi forfettari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rPr/>
            </w:pPr>
            <w:r>
              <w:rPr/>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9" w:name="_Toc256000009"/>
      <w:r>
        <w:rPr>
          <w:rFonts w:eastAsia="Times New Roman" w:cs="Times New Roman"/>
          <w:b w:val="false"/>
          <w:i w:val="false"/>
          <w:color w:val="000000"/>
          <w:sz w:val="24"/>
        </w:rPr>
        <w:t>6 Individuazione degli elementi di base pertinenti</w:t>
      </w:r>
      <w:bookmarkEnd w:id="9"/>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(BCAA pertinenti, criteri di gestione obbligatori (CGO) e altri requisiti obbligatori sanciti dal diritto nazionale e dell'Unione), se applicabili, descrizione degli obblighi pertinenti specifici ai sensi dei CGO, e una spiegazione del modo in cui l'impegno va oltre i requisiti obbligatori (di cui all'articolo 28, paragrafo 5, all'articolo 70, paragrafo 3 e all'articolo 72, paragrafo 5).</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N.P.</w:t>
      </w:r>
    </w:p>
    <w:p>
      <w:pPr>
        <w:pStyle w:val="Heading5"/>
        <w:spacing w:before="20" w:after="20"/>
        <w:jc w:val="left"/>
        <w:rPr>
          <w:rFonts w:ascii="Times New Roman" w:hAnsi="Times New Roman" w:eastAsia="Times New Roman" w:cs="Times New Roman"/>
          <w:b w:val="false"/>
          <w:i w:val="false"/>
          <w:i w:val="false"/>
          <w:color w:val="000000"/>
          <w:sz w:val="24"/>
        </w:rPr>
      </w:pPr>
      <w:bookmarkStart w:id="10" w:name="_Toc256000010"/>
      <w:r>
        <w:rPr>
          <w:rFonts w:eastAsia="Times New Roman" w:cs="Times New Roman"/>
          <w:b w:val="false"/>
          <w:i w:val="false"/>
          <w:color w:val="000000"/>
          <w:sz w:val="24"/>
        </w:rPr>
        <w:t>7 Forma e percentuale del sostegno /importi/metodi di calcolo</w:t>
      </w:r>
      <w:bookmarkEnd w:id="10"/>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Forma di sostegno</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þ</w:t>
      </w:r>
      <w:r>
        <w:rPr>
          <w:rFonts w:eastAsia="Times New Roman" w:cs="Times New Roman"/>
          <w:b/>
          <w:i w:val="false"/>
          <w:color w:val="000000"/>
          <w:sz w:val="24"/>
        </w:rPr>
        <w:t xml:space="preserve"> Sovvenzione</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w:t>
      </w:r>
      <w:r>
        <w:rPr>
          <w:rFonts w:eastAsia="Times New Roman" w:cs="Times New Roman"/>
          <w:b/>
          <w:i w:val="false"/>
          <w:color w:val="000000"/>
          <w:sz w:val="24"/>
        </w:rPr>
        <w:t xml:space="preserve"> Strumento finanziario</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Tipo di pagamenti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rimborso dei costi ammissibili effettivamente sostenuti da un beneficiario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costi unitari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somme forfettarie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finanziamento a tasso fisso</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Base per l'istituzione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Qual è la base legale per la definizione del costo semplificato?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Per i costi unitari la base legale è l'articolo 83, paragrafo 2, lettera (a), punto (i) del Regolamento UE n. 2021/2115.</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Per il finanziamento a tasso fisso la base legale è l'articolo 83, paragrafo 2, lettera (a), punto (iii) del Regolamento UE n. 2021/2115.</w:t>
            </w:r>
          </w:p>
          <w:p>
            <w:pPr>
              <w:pStyle w:val="Normal"/>
              <w:spacing w:before="40" w:after="40"/>
              <w:rPr>
                <w:rFonts w:ascii="Times New Roman" w:hAnsi="Times New Roman" w:eastAsia="Times New Roman" w:cs="Times New Roman"/>
              </w:rPr>
            </w:pPr>
            <w:r>
              <w:rPr>
                <w:rFonts w:eastAsia="Times New Roman" w:cs="Times New Roman"/>
              </w:rPr>
              <w:t>Specificità regionali :</w:t>
            </w:r>
          </w:p>
          <w:p>
            <w:pPr>
              <w:pStyle w:val="Normal"/>
              <w:spacing w:before="40" w:after="40"/>
              <w:rPr>
                <w:rFonts w:ascii="Times New Roman" w:hAnsi="Times New Roman" w:eastAsia="Times New Roman" w:cs="Times New Roman"/>
              </w:rPr>
            </w:pPr>
            <w:r>
              <w:rPr>
                <w:rFonts w:eastAsia="Times New Roman" w:cs="Times New Roman"/>
              </w:rPr>
              <w:t>La Regione Abruzzo intende utilizzare anche le somme forfettarie. Inoltre, per il finanziamento a tasso forfettario intende avvalersi anche dell'articolo 83, paragrafo 2, lettera (d) del Regolamento (UE) n. 2021/2115.</w:t>
            </w:r>
          </w:p>
          <w:p>
            <w:pPr>
              <w:pStyle w:val="Normal"/>
              <w:spacing w:before="40" w:after="40"/>
              <w:rPr>
                <w:rFonts w:ascii="Times New Roman" w:hAnsi="Times New Roman" w:eastAsia="Times New Roman" w:cs="Times New Roman"/>
              </w:rPr>
            </w:pPr>
            <w:r>
              <w:rPr>
                <w:rFonts w:eastAsia="Times New Roman" w:cs="Times New Roman"/>
              </w:rPr>
              <w:t>La Regione Campania, per il finanziamento a tasso fisso, intende avvalersi anche dell'articolo 83, paragrafo 2, lettera (a), punto (ii) del Regolamento UE n. 2021/2115.</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Gamma del sostegno a livello di beneficiario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I valori delle aliquote di sostegno per ciascuna Regione e Provincia Autonoma sono riportati nella seguente Tabella A e nelle rispettive note.</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4"/>
              <w:gridCol w:w="466"/>
              <w:gridCol w:w="464"/>
              <w:gridCol w:w="465"/>
              <w:gridCol w:w="464"/>
              <w:gridCol w:w="464"/>
              <w:gridCol w:w="463"/>
              <w:gridCol w:w="473"/>
              <w:gridCol w:w="455"/>
              <w:gridCol w:w="476"/>
              <w:gridCol w:w="452"/>
              <w:gridCol w:w="475"/>
              <w:gridCol w:w="468"/>
              <w:gridCol w:w="460"/>
              <w:gridCol w:w="472"/>
              <w:gridCol w:w="456"/>
              <w:gridCol w:w="475"/>
              <w:gridCol w:w="458"/>
              <w:gridCol w:w="470"/>
              <w:gridCol w:w="465"/>
              <w:gridCol w:w="463"/>
              <w:gridCol w:w="439"/>
            </w:tblGrid>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TABELLA A</w:t>
                  </w:r>
                </w:p>
              </w:tc>
              <w:tc>
                <w:tcPr>
                  <w:tcW w:w="9743" w:type="dxa"/>
                  <w:gridSpan w:val="21"/>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iCs/>
                      <w:caps w:val="false"/>
                      <w:smallCaps w:val="false"/>
                      <w:color w:val="000000"/>
                      <w:kern w:val="0"/>
                      <w:lang w:val="en-US" w:eastAsia="en-US" w:bidi="ar-SA"/>
                    </w:rPr>
                    <w:t>Aliquote di sostegno (% rispetto alla spesa ammissibile a contributo)</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Aliquota base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35</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VEDASI TAB. E</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Tab C</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Tab D</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r>
            <w:tr>
              <w:trPr/>
              <w:tc>
                <w:tcPr>
                  <w:tcW w:w="10207" w:type="dxa"/>
                  <w:gridSpan w:val="22"/>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iCs/>
                      <w:caps w:val="false"/>
                      <w:smallCaps w:val="false"/>
                      <w:color w:val="000000"/>
                      <w:kern w:val="0"/>
                      <w:lang w:val="en-US" w:eastAsia="en-US" w:bidi="ar-SA"/>
                    </w:rPr>
                    <w:t>Maggiorazioni</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agricoltori</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Localizzazione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50/60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Tipologia investimento</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Sistema colturale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Progetto integrato/colletivo</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Altro</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70 - fino all' 85</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35/40/45/50</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55-</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60-65</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7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458"/>
              <w:gridCol w:w="1459"/>
              <w:gridCol w:w="1458"/>
              <w:gridCol w:w="1459"/>
              <w:gridCol w:w="1458"/>
              <w:gridCol w:w="1459"/>
              <w:gridCol w:w="1458"/>
            </w:tblGrid>
            <w:tr>
              <w:trPr/>
              <w:tc>
                <w:tcPr>
                  <w:tcW w:w="10209" w:type="dxa"/>
                  <w:gridSpan w:val="7"/>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TABELLA B - Note alla tabella delle aliquote di sostegno</w:t>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Regione/ PA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Giovani</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Localizzazione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investimento</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Sistema colturale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Progetto integrato/collettivo</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Altro</w:t>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svantaggiate/zone sottoposte a vincoli</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Finalità ambientale*</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Certificazione biologica e altri sistemi di certificazione delle produzioni</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Vedi nota “Altro”</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Progetti integrati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Progetti piccole aziende agricole</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70% per progetti integrati presentati da giovani fino all'</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85% per progetti presentati piccole aziende agricole.</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definisce piccola azienda agricola “</w:t>
                  </w:r>
                  <w:r>
                    <w:rPr>
                      <w:rFonts w:eastAsia="Times New Roman" w:cs="Times New Roman"/>
                      <w:b/>
                      <w:bCs/>
                      <w:i/>
                      <w:iCs/>
                      <w:caps w:val="false"/>
                      <w:smallCaps w:val="false"/>
                      <w:color w:val="000000"/>
                      <w:kern w:val="0"/>
                      <w:lang w:val="en-US" w:eastAsia="en-US" w:bidi="ar-SA"/>
                    </w:rPr>
                    <w:t>un’azienda agricola con un dimensionamento in termini di Standard Output (SO) pari a 100.000 euro determinato sull’ordinamento colturale risultante da fascicolo aziendale, ultima scheda di validazione riferita all’anno precedente”</w:t>
                  </w:r>
                  <w:r>
                    <w:rPr>
                      <w:rFonts w:eastAsia="Times New Roman" w:cs="Times New Roman"/>
                      <w:b w:val="false"/>
                      <w:bCs w:val="false"/>
                      <w:i w:val="false"/>
                      <w:iCs w:val="false"/>
                      <w:caps w:val="false"/>
                      <w:smallCaps w:val="false"/>
                      <w:color w:val="000000"/>
                      <w:kern w:val="0"/>
                      <w:lang w:val="en-US" w:eastAsia="en-US" w:bidi="ar-SA"/>
                    </w:rPr>
                    <w:t>. La maggiorazione dell'85% si applica solo per piccole aziende agricole che presentano progetti di un valore minore o uguale a 100.000 euro.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Finalità ambientale*</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Piccole aziende agricole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Definizione di Piccole aziende agricole: Sono piccole aziende agricole quelle che occupano meno di 50 persone e che realizzano un fatturato annuo e/o un totale di bilancio annuo inferiore o uguale a 10 milioni di euro ai sensi del Regolamento (UE) n. 2022/2472 Allegato I</w:t>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svantaggiate: 50%</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colpite da alluvione/frane: 60%</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Piani di investimento con finalità ambientali</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Trascinamenti dal PSR 2014-2022:</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45% se imprese condotte da giovani agricoltori (no pacchetto giovani) e/o in zona con vincoli naturali o altri vincoli specifici (esclusi investimenti finalizzati alla lavorazione, trasformazione e commercializzazione dei prodotti aziendali);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35% negli altri casi e in caso di investimenti finalizzati alla lavorazione, trasformazione e commercializzazione dei prodotti aziendali - esclusi i prodotti della pesca – di cui all'Allegato I del Trattato sia in entrata che in uscita;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50% per investimenti in pacchetto giovani, fatto salvo il caso di investimenti finalizzati alla lavorazione, trasformazione commercializzazione dei prodotti aziendali - esclusi i prodotti della pesca – di cui all'Allegato I del Trattato sia in entrata che in uscita, per i quali la percentuale di contribuzione è pari al 40%.</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Friuli-V.G.</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Elevabile al 65% in combinazione con SRD16</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svantaggiate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montane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Vedi nota “Altro”</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Svantaggiate di montagna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Progetti presentati da giovani in zone svantaggiate di montagna</w:t>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Agricoltori di età inferiore ai 41 anni insediati da meno di 10 anni</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montana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Investimenti prioritari e trasformazione</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Nell'ambito del PEI</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55% per investimenti prioritari realizzati da giovani agricoltori o realizzati nell’ambito del PEI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 Investimenti prioritari realizzati in area montana.</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65% Nuovi impianti e ristrutturazioni di oliveti per produzioni DOP/IGP.</w:t>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Nel caso di giovani primi insediati</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montane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Investimenti collegati ad operazioni funzionali ad impegni per agricoltura biologica o agro-climatico ambientali)</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Progetti collettivi o presentati da organizzazioni di produttori. Gli investimenti collettivi sono quelli realizzati da un gruppo di almeno 5 agricoltori che si organizzano in Organizzazioni di produttori o altra forma giuridica di associazione o organizzazione economica</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di montagna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t>60%</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t>Progetti presentati da giovani in zone svantaggiate di montagna</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t>65% bando EURI Operazione 4.1.2 del PSR 14-22</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kern w:val="0"/>
                      <w:sz w:val="24"/>
                      <w:szCs w:val="24"/>
                      <w:lang w:val="en-US" w:eastAsia="en-US" w:bidi="ar-SA"/>
                    </w:rPr>
                  </w:pPr>
                  <w:r>
                    <w:rPr>
                      <w:rFonts w:eastAsia="Times New Roman" w:cs="Times New Roman"/>
                      <w:b w:val="false"/>
                      <w:bCs w:val="false"/>
                      <w:i w:val="false"/>
                      <w:iCs w:val="false"/>
                      <w:caps w:val="false"/>
                      <w:smallCaps w:val="false"/>
                      <w:color w:val="000000"/>
                      <w:kern w:val="0"/>
                      <w:sz w:val="24"/>
                      <w:szCs w:val="24"/>
                      <w:lang w:val="en-US" w:eastAsia="en-US" w:bidi="ar-SA"/>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con svantaggi naturali diverse dalle zone montane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Zone Svantaggiate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Finalità ambientale</w:t>
                  </w:r>
                  <w:r>
                    <w:rPr>
                      <w:rFonts w:eastAsia="Times New Roman" w:cs="Times New Roman"/>
                      <w:b/>
                      <w:bCs/>
                      <w:i w:val="false"/>
                      <w:iCs w:val="false"/>
                      <w:caps w:val="false"/>
                      <w:smallCaps w:val="false"/>
                      <w:color w:val="000000"/>
                      <w:kern w:val="0"/>
                      <w:lang w:val="en-US" w:eastAsia="en-US" w:bidi="ar-SA"/>
                    </w:rPr>
                    <w:t>*</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Progetto presentato piccole aziende agricole </w:t>
                  </w:r>
                  <w:r>
                    <w:rPr>
                      <w:rFonts w:eastAsia="Times New Roman" w:cs="Times New Roman"/>
                      <w:b/>
                      <w:bCs/>
                      <w:i w:val="false"/>
                      <w:iCs w:val="false"/>
                      <w:caps w:val="false"/>
                      <w:smallCaps w:val="false"/>
                      <w:color w:val="000000"/>
                      <w:kern w:val="0"/>
                      <w:lang w:val="en-US" w:eastAsia="en-US" w:bidi="ar-SA"/>
                    </w:rPr>
                    <w:t>**</w:t>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Vedi nota “Altro”</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Zona montana</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Giovane agricoltore in zona montana</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numPr>
                <w:ilvl w:val="0"/>
                <w:numId w:val="6"/>
              </w:numPr>
              <w:spacing w:before="40" w:after="40"/>
              <w:ind w:hanging="210" w:left="720"/>
              <w:jc w:val="left"/>
              <w:rPr>
                <w:rFonts w:ascii="Times New Roman" w:hAnsi="Times New Roman" w:eastAsia="Times New Roman" w:cs="Times New Roman"/>
              </w:rPr>
            </w:pPr>
            <w:r>
              <w:rPr>
                <w:rFonts w:eastAsia="Times New Roman" w:cs="Times New Roman"/>
              </w:rPr>
              <w:t>La maggiorazione all''80% dell'aliquota di sostegno per gli investimenti a finalità ambientale è prevista unicamente per igli investimenti che vanno al di là dei requisiti obbligatori.</w:t>
            </w:r>
          </w:p>
          <w:p>
            <w:pPr>
              <w:pStyle w:val="Normal"/>
              <w:spacing w:before="40" w:after="40"/>
              <w:jc w:val="both"/>
              <w:rPr>
                <w:rFonts w:ascii="Times New Roman" w:hAnsi="Times New Roman" w:eastAsia="Times New Roman" w:cs="Times New Roman"/>
              </w:rPr>
            </w:pPr>
            <w:r>
              <w:rPr>
                <w:rFonts w:eastAsia="Times New Roman" w:cs="Times New Roman"/>
              </w:rPr>
              <w:t>**</w:t>
            </w:r>
            <w:r>
              <w:rPr>
                <w:rFonts w:eastAsia="Times New Roman" w:cs="Times New Roman"/>
                <w:b/>
                <w:bCs/>
              </w:rPr>
              <w:t>Per la Toscana,</w:t>
            </w:r>
            <w:r>
              <w:rPr>
                <w:rFonts w:eastAsia="Times New Roman" w:cs="Times New Roman"/>
              </w:rPr>
              <w:t xml:space="preserve"> in caso di applicazione, la contribuzione dell'85% viene data alle micro e piccole imprese, ovvero:</w:t>
            </w:r>
          </w:p>
          <w:p>
            <w:pPr>
              <w:pStyle w:val="Normal"/>
              <w:numPr>
                <w:ilvl w:val="0"/>
                <w:numId w:val="7"/>
              </w:numPr>
              <w:spacing w:before="40" w:after="40"/>
              <w:ind w:hanging="280" w:left="720"/>
              <w:jc w:val="left"/>
              <w:rPr>
                <w:rFonts w:ascii="Times New Roman" w:hAnsi="Times New Roman" w:eastAsia="Times New Roman" w:cs="Times New Roman"/>
              </w:rPr>
            </w:pPr>
            <w:r>
              <w:rPr>
                <w:rFonts w:eastAsia="Times New Roman" w:cs="Times New Roman"/>
              </w:rPr>
            </w:r>
          </w:p>
          <w:p>
            <w:pPr>
              <w:pStyle w:val="Normal"/>
              <w:numPr>
                <w:ilvl w:val="1"/>
                <w:numId w:val="7"/>
              </w:numPr>
              <w:spacing w:before="40" w:after="40"/>
              <w:ind w:hanging="244" w:left="1440"/>
              <w:jc w:val="left"/>
              <w:rPr>
                <w:rFonts w:ascii="Times New Roman" w:hAnsi="Times New Roman" w:eastAsia="Times New Roman" w:cs="Times New Roman"/>
              </w:rPr>
            </w:pPr>
            <w:r>
              <w:rPr>
                <w:rFonts w:eastAsia="Times New Roman" w:cs="Times New Roman"/>
              </w:rPr>
              <w:t>Impresa che occupa meno di 10 persone e con un fatturato annuo e/o un totale di bilancio annuo non superiore ai 2 milioni di euro ai sensi del Reg. (UE) n. 2022/2472 - Allegato I (micro impresa);</w:t>
            </w:r>
          </w:p>
          <w:p>
            <w:pPr>
              <w:pStyle w:val="Normal"/>
              <w:numPr>
                <w:ilvl w:val="1"/>
                <w:numId w:val="7"/>
              </w:numPr>
              <w:spacing w:before="40" w:after="40"/>
              <w:ind w:hanging="244" w:left="1440"/>
              <w:jc w:val="left"/>
              <w:rPr>
                <w:rFonts w:ascii="Times New Roman" w:hAnsi="Times New Roman" w:eastAsia="Times New Roman" w:cs="Times New Roman"/>
              </w:rPr>
            </w:pPr>
            <w:r>
              <w:rPr>
                <w:rFonts w:eastAsia="Times New Roman" w:cs="Times New Roman"/>
              </w:rPr>
              <w:t>Impresa che occupa meno di 50 persone e con un fatturato annuo e/o un totale di bilancio annuo non superiore ai 10 milioni di euro ai sensi del Reg. (UE) n. 2022/2472 - Allegato I (piccola impresa).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8236"/>
              <w:gridCol w:w="1973"/>
            </w:tblGrid>
            <w:tr>
              <w:trPr/>
              <w:tc>
                <w:tcPr>
                  <w:tcW w:w="1020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TABELLA C – Provincia Autonoma di Trento - Aliquote di sostegno</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Aliquota base investimenti in beni mobili (attrezzature e macchinari)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Aliquota base beni immobili (costruzione, acquisizione, miglioramento)</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agricoltori beni mobili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agricoltori beni immobili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PEI o aggregazioni di agricoltori associati beni mobili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PEI o aggregazioni di agricoltori associati beni immobili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 PEI (o aggregazioni) inv. beni mobili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r>
            <w:tr>
              <w:trPr/>
              <w:tc>
                <w:tcPr>
                  <w:tcW w:w="82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 PEI (o aggregazioni) inv. beni immobili</w:t>
                  </w:r>
                </w:p>
              </w:tc>
              <w:tc>
                <w:tcPr>
                  <w:tcW w:w="19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r>
          </w:tbl>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8222"/>
              <w:gridCol w:w="1987"/>
            </w:tblGrid>
            <w:tr>
              <w:trPr/>
              <w:tc>
                <w:tcPr>
                  <w:tcW w:w="10209"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TABELLA D - Regione Umbria - Aliquote di sostegno</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Aliquota base investimenti in beni 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Aliquota base beni immobili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40%</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agricoltori beni 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Giovani agricoltori beni immobili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Investimenti in beni mobili in aree montane e zone soggette a vincoli naturali significativi di cui all'Art. 32 comma 1 lettere a) e b) del regolamento UE n. 1305/2013</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Investimenti in beni immobili in aree montane e zone soggette a vincoli naturali significativi di cui all'Art. 32 comma 1 lettere a) e b) del regolamento UE n. 1305/2013</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Azienda biologica beni 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Azienda biologica beni immobili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Combinazione 1: giovane+biologico o giovane+localizzazione (beni 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Combinazione 1: giovane+biologico o giovane+localizzazione (beni immobili)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Combinazione 2: giovane+biologico+localizzazione (beni mobil)</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35%</w:t>
                  </w:r>
                </w:p>
              </w:tc>
            </w:tr>
            <w:tr>
              <w:trPr/>
              <w:tc>
                <w:tcPr>
                  <w:tcW w:w="82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Combinazione 2: giovane+biologico+localizzazione (beni immobili)</w:t>
                  </w:r>
                </w:p>
              </w:tc>
              <w:tc>
                <w:tcPr>
                  <w:tcW w:w="198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55%</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Tabella E - Provincia Autonoma di Bolzano – Aliquote di sostegno.</w:t>
            </w:r>
          </w:p>
          <w:p>
            <w:pPr>
              <w:pStyle w:val="Normal"/>
              <w:spacing w:before="40" w:after="40"/>
              <w:rPr>
                <w:rFonts w:ascii="Times New Roman" w:hAnsi="Times New Roman" w:eastAsia="Times New Roman" w:cs="Times New Roman"/>
              </w:rPr>
            </w:pPr>
            <w:r>
              <w:rPr>
                <w:rFonts w:eastAsia="Times New Roman" w:cs="Times New Roman"/>
              </w:rPr>
              <w:t>Aliquota per investimenti di meccanizzazione interna: 30%</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con fino a 39 punti di svantaggio: 50%</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di giovani agricoltori con fino a 39 punti di svantaggio: 55%</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con produzione biologica con fino a 39 punti di svantaggio: 55%</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di giovani agricoltori con produzione biologica con fino a 39 punti di svantaggio: 60%</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con più di 39 punti di svantaggio: 60%</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di giovani agricoltori se con piú di 39 punti di svantaggio: 65%</w:t>
            </w:r>
          </w:p>
          <w:p>
            <w:pPr>
              <w:pStyle w:val="Normal"/>
              <w:spacing w:before="40" w:after="40"/>
              <w:rPr>
                <w:rFonts w:ascii="Times New Roman" w:hAnsi="Times New Roman" w:eastAsia="Times New Roman" w:cs="Times New Roman"/>
              </w:rPr>
            </w:pPr>
            <w:r>
              <w:rPr>
                <w:rFonts w:eastAsia="Times New Roman" w:cs="Times New Roman"/>
              </w:rPr>
              <w:t>Aliquota per investimenti edili da parte di aziende con produzione biologica se con più di 39 punti di svantaggio: 65%</w:t>
            </w:r>
          </w:p>
          <w:p>
            <w:pPr>
              <w:pStyle w:val="Normal"/>
              <w:spacing w:before="40" w:after="40"/>
              <w:jc w:val="both"/>
              <w:rPr>
                <w:rFonts w:ascii="Times New Roman" w:hAnsi="Times New Roman" w:eastAsia="Times New Roman" w:cs="Times New Roman"/>
              </w:rPr>
            </w:pPr>
            <w:r>
              <w:rPr>
                <w:rFonts w:eastAsia="Times New Roman" w:cs="Times New Roman"/>
              </w:rPr>
              <w:t>Aliquota per investimenti edili da parte di giovani agricoltori con produzione biologica se con più di 39 punti di svantaggio: 70%</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supplementare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La metodologia per il calcolo dei costi semplificati è basata sugli studi metodologici e sui calcoli realizzati dalla RRN/ISMEA che riguardano le seguenti spese: a) investimenti per l’acquisto di trattori/mietitrebbie; b) investimenti per la realizzazione di impianti arborei; c) investimenti per la realizzazione ed ammodernamento di frantoi oleari.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La metodologia per il calcolo delle percentuali forfettarie si basa su unostudio realizzato dalla RRN/ISMEA e riguarda le spese di progettazione degli investimenti.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Gli studi citati sono riportati sito web della Rete Rurale Nazionale al seguente link: https://www.reterurale.it/costisemplificati.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Ulteriori tipologie di spesa sottoposte ad opzioni di costo semplificato potranno essere definite a livello regionale tramite propria metodologia.</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1" w:name="_Toc256000011"/>
      <w:r>
        <w:rPr>
          <w:rFonts w:eastAsia="Times New Roman" w:cs="Times New Roman"/>
          <w:b w:val="false"/>
          <w:i w:val="false"/>
          <w:color w:val="000000"/>
          <w:sz w:val="24"/>
        </w:rPr>
        <w:t>8 Informazioni concernenti la valutazione degli aiuti di Stato</w:t>
      </w:r>
      <w:bookmarkEnd w:id="11"/>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L'intervento esula dall'ambito di applicazione dell'articolo 42 TFUE ed è soggetto alla valutazione degli aiuti di Stato: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Sì      </w:t>
      </w: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No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Misto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2" w:name="_Toc256000012"/>
      <w:r>
        <w:rPr>
          <w:rFonts w:eastAsia="Times New Roman" w:cs="Times New Roman"/>
          <w:b w:val="false"/>
          <w:i w:val="false"/>
          <w:color w:val="000000"/>
          <w:sz w:val="24"/>
        </w:rPr>
        <w:t>9 Domande/informazioni aggiuntive specifiche per il tipo di intervento</w:t>
      </w:r>
      <w:bookmarkEnd w:id="12"/>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Che cosa non è ammissibile al sostegno?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In merito alle spese non ammissibili si fa riferimento alla sezione 4.7.1 del presente Piano Strategico.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In merito alle successive domande relative agli investimenti irrigui si veda il CR23.</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L'investimento comprende l'irrigazione?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Sì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No      </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Per gli investimenti nel miglioramento degli impianti di irrigazione esistenti, qual è il risparmio idrico potenziale richiesto (espresso in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0 %</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Dettagli sui diversi risparmi idrici potenziali a seconda del tipo di impianto o di infrastruttura (se del caso)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Per gli investimenti nel miglioramento degli impianti di irrigazione esistenti (che interessano corpi idrici il cui stato è inferiore a buono), quali sono i requisiti per una riduzione effettiva del consumo di acqua espressa in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0 %</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Ripartizione regionale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3" w:name="_Toc256000013"/>
      <w:r>
        <w:rPr>
          <w:rFonts w:eastAsia="Times New Roman" w:cs="Times New Roman"/>
          <w:b w:val="false"/>
          <w:i w:val="false"/>
          <w:color w:val="000000"/>
          <w:sz w:val="24"/>
        </w:rPr>
        <w:t>10 Rispetto delle norme OMC</w:t>
      </w:r>
      <w:bookmarkEnd w:id="13"/>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Green Box</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Allegato 2, punto 11, dell'accordo dell'OMC</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indicante il modo in cui l'intervento rispetta le pertinenti disposizioni dell'allegato 2 dell'accordo sull'agricoltura dell'OMC menzionate all'articolo 10 e all'allegato II del presente regolamento (Green Box)</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rPr>
              <w:t>L’intervento rispetta quanto previsto dal paragrafo 11 (lettere a-f) dell’allegato II all’accordo sull’agricoltura dell’Organizzazione Mondiale del Commercio in quanto il supporto all’aggiustamento strutturale delle aziende agricole è fornito attraverso aiuti agli investimenti che rispettano i seguenti requisiti:</w:t>
            </w:r>
          </w:p>
          <w:p>
            <w:pPr>
              <w:pStyle w:val="Normal"/>
              <w:spacing w:before="40" w:after="40"/>
              <w:jc w:val="both"/>
              <w:rPr>
                <w:rFonts w:ascii="Times New Roman" w:hAnsi="Times New Roman" w:eastAsia="Times New Roman" w:cs="Times New Roman"/>
              </w:rPr>
            </w:pPr>
            <w:r>
              <w:rPr>
                <w:rFonts w:eastAsia="Times New Roman" w:cs="Times New Roman"/>
                <w:b/>
                <w:bCs/>
              </w:rPr>
              <w:t>Riscontro di conformità di cui alla lettera (a):</w:t>
            </w:r>
            <w:r>
              <w:rPr>
                <w:rFonts w:eastAsia="Times New Roman" w:cs="Times New Roman"/>
              </w:rPr>
              <w:t xml:space="preserve"> L'ammissibilità ai pagamenti dell’intervento è determinata in riferimento a criteri chiaramente definiti in un programma governativo (Piano strategico della PAC 2023-2027) inteso a favorire la ristrutturazione fisica delle attività dei beneficiari in risposta a svantaggi strutturali oggettivamente dimostrati attraverso l’analisi SWOT.</w:t>
            </w:r>
          </w:p>
          <w:p>
            <w:pPr>
              <w:pStyle w:val="Normal"/>
              <w:spacing w:before="40" w:after="40"/>
              <w:jc w:val="both"/>
              <w:rPr>
                <w:rFonts w:ascii="Times New Roman" w:hAnsi="Times New Roman" w:eastAsia="Times New Roman" w:cs="Times New Roman"/>
              </w:rPr>
            </w:pPr>
            <w:r>
              <w:rPr>
                <w:rFonts w:eastAsia="Times New Roman" w:cs="Times New Roman"/>
                <w:b/>
                <w:bCs/>
              </w:rPr>
              <w:t>Riscontro di conformità di cui alla lettera (b):</w:t>
            </w:r>
            <w:r>
              <w:rPr>
                <w:rFonts w:eastAsia="Times New Roman" w:cs="Times New Roman"/>
              </w:rPr>
              <w:t xml:space="preserve"> L'importo dei pagamenti non è correlato né basato sul tipo o volume di produzione (comprese le unità di bestiame) intrapreso dagli agricoltori in qualsiasi anno successivo a quello dell’erogazione degli stessi in quanto i pagamenti sono effettuati esclusivamente sulla base dei costi effettivamente sostenuti dai beneficiari per la realizzazione degli investimenti ovvero, se del caso, sulla base di costi semplificati che non si basano sul tipo o volume di produzione.</w:t>
            </w:r>
          </w:p>
          <w:p>
            <w:pPr>
              <w:pStyle w:val="Normal"/>
              <w:spacing w:before="40" w:after="40"/>
              <w:jc w:val="both"/>
              <w:rPr>
                <w:rFonts w:ascii="Times New Roman" w:hAnsi="Times New Roman" w:eastAsia="Times New Roman" w:cs="Times New Roman"/>
              </w:rPr>
            </w:pPr>
            <w:r>
              <w:rPr>
                <w:rFonts w:eastAsia="Times New Roman" w:cs="Times New Roman"/>
                <w:b/>
                <w:bCs/>
              </w:rPr>
              <w:t>Riscontro di conformità di cui alla lettera (c):</w:t>
            </w:r>
            <w:r>
              <w:rPr>
                <w:rFonts w:eastAsia="Times New Roman" w:cs="Times New Roman"/>
              </w:rPr>
              <w:t xml:space="preserve"> L'importo dei pagamenti non deve è correlato o basato sui prezzi, nazionali o internazionali, applicabili a qualsiasi produzione intrapresa dal beneficiario in qualsiasi anno successivo a quello dell’erogazione degli stessi in quanto i pagamenti sono effettuati esclusivamente sulla base dei costi effettivamente sostenuti dai beneficiari per la realizzazione degli investimenti ovvero, se del caso, sulla base di costi semplificati che non si basano sui prezzi delle produzioni effettuate dal beneficiario.</w:t>
            </w:r>
          </w:p>
          <w:p>
            <w:pPr>
              <w:pStyle w:val="Normal"/>
              <w:spacing w:before="40" w:after="40"/>
              <w:jc w:val="both"/>
              <w:rPr>
                <w:rFonts w:ascii="Times New Roman" w:hAnsi="Times New Roman" w:eastAsia="Times New Roman" w:cs="Times New Roman"/>
              </w:rPr>
            </w:pPr>
            <w:r>
              <w:rPr>
                <w:rFonts w:eastAsia="Times New Roman" w:cs="Times New Roman"/>
                <w:b/>
                <w:bCs/>
              </w:rPr>
              <w:t xml:space="preserve">Riscontro di conformità di cui alla lettera (d): </w:t>
            </w:r>
            <w:r>
              <w:rPr>
                <w:rFonts w:eastAsia="Times New Roman" w:cs="Times New Roman"/>
              </w:rPr>
              <w:t>I pagamenti sono effettuati solo per il periodo di tempo necessario alla realizzazione dell'investimento in quanto erogabili esclusivamente in una delle seguenti modalità: anticipo (dopo la concessione del sostegno), stato di avanzamento lavori (nel corso dell’esecuzione degli investimenti) e saldo finale (al termine degli investimenti). Nessuna altra forma di pagamento, antecedente o successiva alle fasi indicate è concessa al beneficiario.</w:t>
            </w:r>
          </w:p>
          <w:p>
            <w:pPr>
              <w:pStyle w:val="Normal"/>
              <w:spacing w:before="40" w:after="40"/>
              <w:jc w:val="both"/>
              <w:rPr>
                <w:rFonts w:ascii="Times New Roman" w:hAnsi="Times New Roman" w:eastAsia="Times New Roman" w:cs="Times New Roman"/>
              </w:rPr>
            </w:pPr>
            <w:r>
              <w:rPr>
                <w:rFonts w:eastAsia="Times New Roman" w:cs="Times New Roman"/>
                <w:b/>
                <w:bCs/>
              </w:rPr>
              <w:t xml:space="preserve">Riscontro di conformità di cui alla lettera (e): </w:t>
            </w:r>
            <w:r>
              <w:rPr>
                <w:rFonts w:eastAsia="Times New Roman" w:cs="Times New Roman"/>
              </w:rPr>
              <w:t>le condizioni di ammissibilità non prevedono in alcun caso l’obbligo o l’indicazione ai beneficiari di intraprendere alcun tipo di produzione. Eventuali limitazioni sui tipi di produzione ammissibili sono definite esclusivamente sulla base dell’analisi delle esigenze e sull’analisi SWOT.</w:t>
            </w:r>
          </w:p>
          <w:p>
            <w:pPr>
              <w:pStyle w:val="Normal"/>
              <w:spacing w:before="40" w:after="40"/>
              <w:jc w:val="both"/>
              <w:rPr>
                <w:rFonts w:ascii="Times New Roman" w:hAnsi="Times New Roman" w:eastAsia="Times New Roman" w:cs="Times New Roman"/>
              </w:rPr>
            </w:pPr>
            <w:r>
              <w:rPr>
                <w:rFonts w:eastAsia="Times New Roman" w:cs="Times New Roman"/>
                <w:b/>
                <w:bCs/>
              </w:rPr>
              <w:t xml:space="preserve">Riscontro di conformità di cui alla lettera (f): </w:t>
            </w:r>
            <w:r>
              <w:rPr>
                <w:rFonts w:eastAsia="Times New Roman" w:cs="Times New Roman"/>
              </w:rPr>
              <w:t>i pagamenti sono limitati all'importo necessario per compensare lo svantaggio strutturale in quanto l’intensità di aiuto coprono solamente una quota parte delle spese sostenute dai beneficiari.</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4" w:name="_Toc256000014"/>
      <w:r>
        <w:rPr>
          <w:rFonts w:eastAsia="Times New Roman" w:cs="Times New Roman"/>
          <w:b w:val="false"/>
          <w:i w:val="false"/>
          <w:color w:val="000000"/>
          <w:sz w:val="24"/>
        </w:rPr>
        <w:t>11 Tassi di partecipazione applicabili all'intervento</w:t>
      </w:r>
      <w:bookmarkEnd w:id="14"/>
    </w:p>
    <w:tbl>
      <w:tblPr>
        <w:tblW w:w="5000" w:type="pct"/>
        <w:jc w:val="left"/>
        <w:tblInd w:w="25" w:type="dxa"/>
        <w:tblLayout w:type="fixed"/>
        <w:tblCellMar>
          <w:top w:w="20" w:type="dxa"/>
          <w:left w:w="20" w:type="dxa"/>
          <w:bottom w:w="20" w:type="dxa"/>
          <w:right w:w="20" w:type="dxa"/>
        </w:tblCellMar>
      </w:tblPr>
      <w:tblGrid>
        <w:gridCol w:w="758"/>
        <w:gridCol w:w="6032"/>
        <w:gridCol w:w="1410"/>
        <w:gridCol w:w="969"/>
        <w:gridCol w:w="1081"/>
      </w:tblGrid>
      <w:tr>
        <w:trPr>
          <w:tblHeader w:val="true"/>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Regione</w:t>
            </w:r>
          </w:p>
        </w:tc>
        <w:tc>
          <w:tcPr>
            <w:tcW w:w="6032"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Articolo</w:t>
            </w:r>
          </w:p>
        </w:tc>
        <w:tc>
          <w:tcPr>
            <w:tcW w:w="1410"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Aliquota da applicare</w:t>
            </w:r>
          </w:p>
        </w:tc>
        <w:tc>
          <w:tcPr>
            <w:tcW w:w="969"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Tasso minimo</w:t>
            </w:r>
          </w:p>
        </w:tc>
        <w:tc>
          <w:tcPr>
            <w:tcW w:w="1081"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Tasso massimo</w:t>
            </w:r>
          </w:p>
        </w:tc>
      </w:tr>
      <w:tr>
        <w:trPr>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91(2)(a) - Regioni meno sviluppate</w:t>
            </w:r>
          </w:p>
        </w:tc>
        <w:tc>
          <w:tcPr>
            <w:tcW w:w="141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50,50%</w:t>
            </w:r>
          </w:p>
        </w:tc>
        <w:tc>
          <w:tcPr>
            <w:tcW w:w="9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85,00%</w:t>
            </w:r>
          </w:p>
        </w:tc>
      </w:tr>
      <w:tr>
        <w:trPr>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91(2)(c) - Regioni in transizione ai sensi dell'articolo 108, paragrafo 2, primo comma, lettera b), del regolamento (UE) 2021/1060</w:t>
            </w:r>
          </w:p>
        </w:tc>
        <w:tc>
          <w:tcPr>
            <w:tcW w:w="141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42,50%</w:t>
            </w:r>
          </w:p>
        </w:tc>
        <w:tc>
          <w:tcPr>
            <w:tcW w:w="9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60,00%</w:t>
            </w:r>
          </w:p>
        </w:tc>
      </w:tr>
      <w:tr>
        <w:trPr>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91(2)(d) - Altre regioni</w:t>
            </w:r>
          </w:p>
        </w:tc>
        <w:tc>
          <w:tcPr>
            <w:tcW w:w="141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40,70%</w:t>
            </w:r>
          </w:p>
        </w:tc>
        <w:tc>
          <w:tcPr>
            <w:tcW w:w="9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43,00%</w:t>
            </w:r>
          </w:p>
        </w:tc>
      </w:tr>
    </w:tbl>
    <w:p>
      <w:pPr>
        <w:pStyle w:val="Heading5"/>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sectPr>
      <w:headerReference w:type="even" r:id="rId16"/>
      <w:headerReference w:type="default" r:id="rId17"/>
      <w:headerReference w:type="first" r:id="rId18"/>
      <w:footerReference w:type="even" r:id="rId19"/>
      <w:footerReference w:type="default" r:id="rId20"/>
      <w:footerReference w:type="first" r:id="rId21"/>
      <w:footnotePr>
        <w:numFmt w:val="decimal"/>
      </w:footnotePr>
      <w:type w:val="nextPage"/>
      <w:pgSz w:w="11906" w:h="16838"/>
      <w:pgMar w:left="936" w:right="720" w:gutter="0" w:header="288" w:top="720" w:footer="72" w:bottom="86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Courier New">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41</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2</w:t>
          </w:r>
          <w:r>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5061"/>
      <w:gridCol w:w="5062"/>
      <w:gridCol w:w="5059"/>
    </w:tblGrid>
    <w:tr>
      <w:trPr>
        <w:trHeight w:val="240" w:hRule="atLeast"/>
      </w:trPr>
      <w:tc>
        <w:tcPr>
          <w:tcW w:w="5061"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5062"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3</w:t>
          </w:r>
          <w:r>
            <w:rPr/>
            <w:fldChar w:fldCharType="end"/>
          </w:r>
        </w:p>
      </w:tc>
      <w:tc>
        <w:tcPr>
          <w:tcW w:w="5059"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41</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suppressLineNumbers/>
        <w:suppressAutoHyphens w:val="true"/>
        <w:bidi w:val="0"/>
        <w:spacing w:lineRule="auto" w:line="252" w:before="0" w:after="160"/>
        <w:ind w:hanging="0" w:left="113" w:right="0"/>
        <w:jc w:val="left"/>
        <w:rPr>
          <w:highlight w:val="none"/>
          <w:shd w:fill="76FF03" w:val="clear"/>
        </w:rPr>
      </w:pPr>
      <w:r>
        <w:rPr>
          <w:rStyle w:val="Caratterinotaapidipagina"/>
        </w:rPr>
        <w:footnoteRef/>
      </w:r>
      <w:r>
        <w:rPr>
          <w:shd w:fill="76FF03" w:val="clear"/>
        </w:rPr>
        <w:t xml:space="preserve"> </w:t>
      </w:r>
      <w:r>
        <w:rPr>
          <w:shd w:fill="76FF03" w:val="clear"/>
        </w:rPr>
        <w:t>Regione Piemonte: si intende utilizzare l’intervento SRD01 per le spese in transizione dell’</w:t>
      </w:r>
      <w:r>
        <w:rPr>
          <w:rFonts w:eastAsia="Calibri" w:cs="Arial"/>
          <w:color w:val="000000"/>
          <w:kern w:val="0"/>
          <w:sz w:val="20"/>
          <w:szCs w:val="20"/>
          <w:shd w:fill="76FF03" w:val="clear"/>
          <w:lang w:val="it-IT" w:eastAsia="en-US" w:bidi="ar-SA"/>
        </w:rPr>
        <w:t>Operazione 4.1.2</w:t>
      </w:r>
      <w:r>
        <w:rPr>
          <w:shd w:fill="76FF03" w:val="clear"/>
        </w:rPr>
        <w:t xml:space="preserve"> del PSR 14-22, ai sensi dell’art. 155 del Reg.(UE)2021/2115. Pertanto ad integrazione della quantificazione dell’aliquota di sostegno per M 4.1.2  introdotta con Emendamento 4, si inseriscono le ulteriori necessarie specifiche testuali</w:t>
      </w:r>
    </w:p>
  </w:footnote>
  <w:footnote w:id="3">
    <w:p>
      <w:pPr>
        <w:pStyle w:val="FootnoteText"/>
        <w:rPr>
          <w:color w:val="auto"/>
          <w:highlight w:val="none"/>
          <w:shd w:fill="76FF03" w:val="clear"/>
        </w:rPr>
      </w:pPr>
      <w:r>
        <w:rPr>
          <w:rStyle w:val="Caratterinotaapidipagina"/>
        </w:rPr>
        <w:footnoteRef/>
      </w:r>
      <w:r>
        <w:rPr>
          <w:color w:val="000000"/>
          <w:shd w:fill="76FF03" w:val="clear"/>
        </w:rPr>
        <w:tab/>
        <w:t>Regione Piemonte: si intende utilizzare</w:t>
      </w:r>
      <w:r>
        <w:rPr>
          <w:rFonts w:eastAsia="Times New Roman" w:cs="Times New Roman"/>
          <w:color w:val="000000"/>
          <w:kern w:val="0"/>
          <w:sz w:val="20"/>
          <w:szCs w:val="20"/>
          <w:shd w:fill="76FF03" w:val="clear"/>
          <w:lang w:val="en-US" w:eastAsia="en-US" w:bidi="ar-SA"/>
        </w:rPr>
        <w:t xml:space="preserve"> l’intervento SRD01 anche per le spese in transizione dell’Operazione 4.1.2 del PSR 14-22, ai sensi dell’art. 155 del Reg.(UE)2021/2115; poiché tale operazione è destinata alle aziende agricole dei giovani agricoltori, viene inserita nei criteri di ammissibilità la relativa specifica sull’età dei beneficiari.</w:t>
      </w:r>
    </w:p>
  </w:footnote>
  <w:footnote w:id="4">
    <w:p>
      <w:pPr>
        <w:pStyle w:val="FootnoteText"/>
        <w:widowControl w:val="false"/>
        <w:suppressLineNumbers/>
        <w:suppressAutoHyphens w:val="true"/>
        <w:bidi w:val="0"/>
        <w:spacing w:lineRule="auto" w:line="252" w:before="0" w:after="160"/>
        <w:ind w:hanging="0" w:left="113" w:right="0"/>
        <w:jc w:val="left"/>
        <w:rPr>
          <w:shd w:fill="auto" w:val="clear"/>
        </w:rPr>
      </w:pPr>
      <w:r>
        <w:rPr>
          <w:rStyle w:val="Caratterinotaapidipagina"/>
        </w:rPr>
        <w:footnoteRef/>
      </w:r>
      <w:r>
        <w:rPr>
          <w:shd w:fill="auto" w:val="clear"/>
        </w:rPr>
        <w:t xml:space="preserve"> </w:t>
      </w:r>
      <w:r>
        <w:rPr>
          <w:shd w:fill="76FF03" w:val="clear"/>
        </w:rPr>
        <w:t>Regione Piemonte: si intende utilizzare l’intervento SRD01 anche per le spese in transizione dell’</w:t>
      </w:r>
      <w:r>
        <w:rPr>
          <w:rFonts w:cs="Arial"/>
          <w:color w:val="000000"/>
          <w:kern w:val="0"/>
          <w:shd w:fill="76FF03" w:val="clear"/>
        </w:rPr>
        <w:t>Operazione 4.1.2</w:t>
      </w:r>
      <w:r>
        <w:rPr>
          <w:shd w:fill="76FF03" w:val="clear"/>
        </w:rPr>
        <w:t xml:space="preserve"> del PSR 14-22, ai sensi dell’art. 155 del Reg.(UE)2021/2115;</w:t>
      </w:r>
      <w:r>
        <w:rPr>
          <w:rFonts w:eastAsia="Times New Roman" w:cs="Times New Roman"/>
          <w:color w:val="000000"/>
          <w:kern w:val="0"/>
          <w:sz w:val="20"/>
          <w:szCs w:val="20"/>
          <w:shd w:fill="76FF03" w:val="clear"/>
          <w:lang w:val="en-US" w:eastAsia="en-US" w:bidi="ar-SA"/>
        </w:rPr>
        <w:t xml:space="preserve"> viene pertanto inserita la specifica relativa alla soglia massima di contributo per tale operazione.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72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qFormat/>
    <w:rsid w:val="00ef7b96"/>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ef7b96"/>
    <w:pPr>
      <w:keepNext w:val="true"/>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val="true"/>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styleId="DefaultParagraphFont" w:default="1">
    <w:name w:val="Default Paragraph Font"/>
    <w:semiHidden/>
    <w:qFormat/>
    <w:rPr/>
  </w:style>
  <w:style w:type="character" w:styleId="Hyperlink">
    <w:name w:val="Hyperlink"/>
    <w:basedOn w:val="DefaultParagraphFont"/>
    <w:rsid w:val="00ef7b96"/>
    <w:rPr>
      <w:color w:val="0000FF"/>
      <w:u w:val="single"/>
    </w:rPr>
  </w:style>
  <w:style w:type="character" w:styleId="Saltoaindice">
    <w:name w:val="Salto a indice"/>
    <w:qForma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
    <w:name w:val="Caratteri nota di chiusura"/>
    <w:qFormat/>
    <w:rPr>
      <w:vertAlign w:val="superscript"/>
    </w:rPr>
  </w:style>
  <w:style w:type="character" w:styleId="EndnoteReference">
    <w:name w:val="Endnote Reference"/>
    <w:rPr>
      <w:vertAlign w:val="superscript"/>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Qlbt-cell-line" w:customStyle="1">
    <w:name w:val="qlbt-cell-line"/>
    <w:basedOn w:val="Normal"/>
    <w:qFormat/>
    <w:pPr/>
    <w:rPr/>
  </w:style>
  <w:style w:type="paragraph" w:styleId="Qlbt-cell-lineql-align-justify" w:customStyle="1">
    <w:name w:val="qlbt-cell-line ql-align-justify"/>
    <w:basedOn w:val="Normal"/>
    <w:qFormat/>
    <w:pPr/>
    <w:rPr/>
  </w:style>
  <w:style w:type="paragraph" w:styleId="Qlbt-cell-lineql-align-center" w:customStyle="1">
    <w:name w:val="qlbt-cell-line ql-align-center"/>
    <w:basedOn w:val="Normal"/>
    <w:qFormat/>
    <w:pPr/>
    <w:rPr/>
  </w:style>
  <w:style w:type="paragraph" w:styleId="Qlbt-cell-lineql-align-right" w:customStyle="1">
    <w:name w:val="qlbt-cell-line ql-align-right"/>
    <w:basedOn w:val="Normal"/>
    <w:qFormat/>
    <w:pPr/>
    <w:rPr/>
  </w:style>
  <w:style w:type="paragraph" w:styleId="TOC1">
    <w:name w:val="TOC 1"/>
    <w:basedOn w:val="Normal"/>
    <w:next w:val="Normal"/>
    <w:autoRedefine/>
    <w:rsid w:val="00805bce"/>
    <w:pPr/>
    <w:rPr>
      <w:b w:val="false"/>
      <w:caps w:val="false"/>
      <w:smallCaps w:val="false"/>
    </w:rPr>
  </w:style>
  <w:style w:type="paragraph" w:styleId="TOC2">
    <w:name w:val="TOC 2"/>
    <w:basedOn w:val="Normal"/>
    <w:next w:val="Normal"/>
    <w:autoRedefine/>
    <w:rsid w:val="00805bce"/>
    <w:pPr>
      <w:ind w:left="240"/>
    </w:pPr>
    <w:rPr/>
  </w:style>
  <w:style w:type="paragraph" w:styleId="TOC3">
    <w:name w:val="TOC 3"/>
    <w:basedOn w:val="Normal"/>
    <w:next w:val="Normal"/>
    <w:autoRedefine/>
    <w:rsid w:val="00805bce"/>
    <w:pPr>
      <w:ind w:left="480"/>
    </w:pPr>
    <w:rPr>
      <w:i w:val="false"/>
    </w:rPr>
  </w:style>
  <w:style w:type="paragraph" w:styleId="TOC4">
    <w:name w:val="TOC 4"/>
    <w:basedOn w:val="Normal"/>
    <w:next w:val="Normal"/>
    <w:autoRedefine/>
    <w:rsid w:val="00805bce"/>
    <w:pPr>
      <w:ind w:left="720"/>
    </w:pPr>
    <w:rPr>
      <w:i w:val="false"/>
    </w:rPr>
  </w:style>
  <w:style w:type="paragraph" w:styleId="TOC5">
    <w:name w:val="TOC 5"/>
    <w:basedOn w:val="Normal"/>
    <w:next w:val="Normal"/>
    <w:autoRedefine/>
    <w:rsid w:val="00805bce"/>
    <w:pPr>
      <w:ind w:left="960"/>
    </w:pPr>
    <w:rPr/>
  </w:style>
  <w:style w:type="paragraph" w:styleId="Intestazioneepidipagina">
    <w:name w:val="Intestazione e piè di pagina"/>
    <w:basedOn w:val="Normal"/>
    <w:qFormat/>
    <w:pPr/>
    <w:rPr/>
  </w:style>
  <w:style w:type="paragraph" w:styleId="Header">
    <w:name w:val="Header"/>
    <w:basedOn w:val="Intestazioneepidipagina"/>
    <w:pPr/>
    <w:rPr/>
  </w:style>
  <w:style w:type="paragraph" w:styleId="Footer">
    <w:name w:val="Footer"/>
    <w:basedOn w:val="Intestazioneepidipagina"/>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paragraph" w:styleId="FootnoteText">
    <w:name w:val="Footnote Text"/>
    <w:basedOn w:val="Normal"/>
    <w:pPr>
      <w:suppressLineNumbers/>
      <w:ind w:hanging="340" w:left="340"/>
    </w:pPr>
    <w:rPr>
      <w:sz w:val="20"/>
      <w:szCs w:val="20"/>
    </w:rPr>
  </w:style>
  <w:style w:type="numbering" w:styleId="NoList" w:default="1">
    <w:name w:val="No List"/>
    <w:semiHidden/>
    <w:qFormat/>
  </w:style>
  <w:style w:type="table" w:default="1" w:styleId="TableNormal">
    <w:name w:val="Normal Table"/>
    <w:semiHidden/>
    <w:tblPr>
      <w:tblCellMar>
        <w:top w:w="0" w:type="dxa"/>
        <w:left w:w="108" w:type="dxa"/>
        <w:bottom w:w="0" w:type="dxa"/>
        <w:right w:w="108" w:type="dxa"/>
      </w:tblCellMar>
    </w:tblPr>
  </w:style>
  <w:style w:type="table" w:customStyle="1" w:styleId="quill-better-table">
    <w:name w:val="quill-better-table"/>
    <w:basedOn w:val="Table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footer" Target="footer8.xml"/><Relationship Id="rId20" Type="http://schemas.openxmlformats.org/officeDocument/2006/relationships/footer" Target="footer9.xml"/><Relationship Id="rId21" Type="http://schemas.openxmlformats.org/officeDocument/2006/relationships/footer" Target="footer10.xml"/><Relationship Id="rId22" Type="http://schemas.openxmlformats.org/officeDocument/2006/relationships/footnotes" Target="footnotes.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Template>
  <TotalTime>348</TotalTime>
  <Application>LibreOffice/7.6.6.3$Windows_X86_64 LibreOffice_project/d97b2716a9a4a2ce1391dee1765565ea469b0ae7</Application>
  <AppVersion>15.0000</AppVersion>
  <Pages>7</Pages>
  <Words>10077</Words>
  <Characters>57515</Characters>
  <CharactersWithSpaces>65701</CharactersWithSpaces>
  <Paragraphs>1925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2025-06-26T11:57:01Z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